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Gunvor SA</w:t>
      </w:r>
    </w:p>
    <w:p>
      <w:pPr>
        <w:spacing w:after="0"/>
      </w:pPr>
      <w:r>
        <w:rPr>
          <w:b w:val="0"/>
        </w:rPr>
        <w:t>80-84 Rue du Rhône</w:t>
      </w:r>
    </w:p>
    <w:p>
      <w:pPr>
        <w:spacing w:after="0"/>
      </w:pPr>
      <w:r>
        <w:rPr>
          <w:b w:val="0"/>
        </w:rPr>
        <w:t>1204 Geneva, Switzerland</w:t>
      </w:r>
    </w:p>
    <w:p>
      <w:pPr>
        <w:spacing w:after="0"/>
      </w:pPr>
      <w:r>
        <w:rPr>
          <w:b w:val="0"/>
        </w:rPr>
      </w:r>
    </w:p>
    <w:p>
      <w:pPr>
        <w:spacing w:after="160"/>
      </w:pPr>
      <w:r>
        <w:rPr>
          <w:b w:val="0"/>
        </w:rPr>
        <w:t>Dear Sir or Madam,</w:t>
      </w:r>
    </w:p>
    <w:p>
      <w:pPr>
        <w:spacing w:after="160"/>
      </w:pPr>
      <w:r>
        <w:rPr>
          <w:b w:val="0"/>
        </w:rPr>
        <w:t>I am applying for the Global Graduate Program 2027 – Trading &amp; Supply Chain in Geneva, with a particular interest in natural gas, LNG and power. I am a final-year Economics student at the University of Strathclyde, graduating in summer 2027 with a predicted 2:1. Gunvor's energy segment of natural gas, LNG and power delivered its strongest result in 2025, and the firm matched its full-year 2025 gross profit in the first quarter of 2026 alone, which makes its gas and LNG business the part of commodity trading I most want to learn.</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at the Strathclyde Poker Society, where I was Vice-President and then President, I taught new members to use the Kelly criterion to work out how many buy-ins their own win rate, variance and appetite for risk call for.</w:t>
      </w:r>
    </w:p>
    <w:p>
      <w:pPr>
        <w:spacing w:after="160"/>
      </w:pPr>
      <w:r>
        <w:rPr>
          <w:b w:val="0"/>
        </w:rPr>
        <w:t>Gunvor stands out to me because it is a physical trader whose graduate programme rotates through trading desks, risk, operations and analytics in Geneva, with possible rotations in Singapore, Houston, Tallinn or London. Physical trading depends on storage, shipping and timing in ways that paper markets alone do not capture, and my dissertation's focus on how OPEC supply news moves markets gives me a starting point for learning the physical side of the business.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