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TP ICAP</w:t>
      </w:r>
    </w:p>
    <w:p>
      <w:pPr>
        <w:spacing w:after="0"/>
      </w:pPr>
      <w:r>
        <w:rPr>
          <w:b w:val="0"/>
        </w:rPr>
        <w:t>135 Bishopsgate</w:t>
      </w:r>
    </w:p>
    <w:p>
      <w:pPr>
        <w:spacing w:after="0"/>
      </w:pPr>
      <w:r>
        <w:rPr>
          <w:b w:val="0"/>
        </w:rPr>
        <w:t>London EC2M 3TP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Energy &amp; Commodities Trainee Broker Graduate Programme in London, with a particular interest in gas and power broking. I am a final-year Economics student at the University of Strathclyde, graduating in summer 2027 with a predicted 2:1. TP ICAP's Energy and Commodities business grew revenue to £233 million in the first half of 2026 despite a sharp fall in oil futures volumes in the second quarter, which shows the value of a broker's network when markets are disrupted.</w:t>
      </w:r>
    </w:p>
    <w:p>
      <w:pPr>
        <w:spacing w:after="160"/>
      </w:pPr>
      <w:r>
        <w:rPr>
          <w:b w:val="0"/>
        </w:rPr>
        <w:t>Much of my work centres on commodity markets. My dissertation, supervised by Dr Luigi Gifuni, tests whether governments that hedge oil change how their currencies react to OPEC news: whether Norway's krone conversions, Russia's 2017–22 budget rule and Mexico's put hedge make the oil beta smaller, kinked or one-sided, and whether any beta that remains can be traded after costs. As co-founder of the Strathclyde Agricapital Society, which I grew to 126 members, I built a wheat calendar-spread strategy in R from futures curve structure and CFTC Commitments of Traders positioning, and published weekly research notes for members.</w:t>
      </w:r>
    </w:p>
    <w:p>
      <w:pPr>
        <w:spacing w:after="160"/>
      </w:pPr>
      <w:r>
        <w:rPr>
          <w:b w:val="0"/>
        </w:rPr>
        <w:t>Sales and trading appeals to me because it joins analysis to a live price and to a client who needs a clear answer quickly. Writing those weekly notes taught me to turn analysis into a view that non-specialists can act on. In nearly two years at KONG, I learned that a recommendation lands only when it fits the person hearing it: by analysing sales patterns and refining our upselling prompts, I raised average customer spend by an estimated 25%. I also take risk seriously: at the Strathclyde Poker Society, where I was Vice-President and then President, I taught new members to use the Kelly criterion to work out how many buy-ins their own win rate, variance and appetite for risk call for.</w:t>
      </w:r>
    </w:p>
    <w:p>
      <w:pPr>
        <w:spacing w:after="160"/>
      </w:pPr>
      <w:r>
        <w:rPr>
          <w:b w:val="0"/>
        </w:rPr>
        <w:t>TP ICAP stands out to me because, as the world's largest inter-dealer broker, it sits at the centre of the energy markets I study, and its graduate programme gives trainees on-the-job learning across Energy and Commodities products before a permanent placement. Broking rewards fast, accurate judgement and trusted relationships, and I would bring a working knowledge of oil-market fundamentals, from OPEC decisions to the currencies they move, to desks where clients expect a broker to understand the market they are trading.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