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IMC Trading</w:t>
      </w:r>
    </w:p>
    <w:p>
      <w:pPr>
        <w:spacing w:after="0"/>
      </w:pPr>
      <w:r>
        <w:rPr>
          <w:b w:val="0"/>
        </w:rPr>
        <w:t>Amstelveenseweg 500</w:t>
      </w:r>
    </w:p>
    <w:p>
      <w:pPr>
        <w:spacing w:after="0"/>
      </w:pPr>
      <w:r>
        <w:rPr>
          <w:b w:val="0"/>
        </w:rPr>
        <w:t>1081 KL 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Quantitative Trader (2027 start) role in London or Amsterdam. I am a final-year Economics student at the University of Strathclyde, graduating in summer 2027 with a predicted 2:1. IMC's graduate programme explicitly welcomes econometrics students and values Python, MATLAB or R, which matches how I have trained myself to think about markets.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IMC stands out to me because its trading teams span discretionary, systematic and execution-focused roles, and graduates are placed where their strengths fit after a six-week Global Trainee Programme, at a firm that hired more than 450 people in 2025. My strengths are time-series econometrics and simulation, built in R and MATLAB through my dissertation and option pricer, and I would like to discover where on IMC's desks they add the most value.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