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3Red Partners</w:t>
      </w:r>
    </w:p>
    <w:p>
      <w:pPr>
        <w:spacing w:after="0"/>
      </w:pPr>
      <w:r>
        <w:rPr>
          <w:b w:val="0"/>
        </w:rPr>
        <w:t>Amsterdam, Netherlands</w:t>
      </w:r>
    </w:p>
    <w:p>
      <w:pPr>
        <w:spacing w:after="0"/>
      </w:pPr>
      <w:r>
        <w:rPr>
          <w:b w:val="0"/>
        </w:rPr>
      </w:r>
    </w:p>
    <w:p>
      <w:pPr>
        <w:spacing w:after="160"/>
      </w:pPr>
      <w:r>
        <w:rPr>
          <w:b w:val="0"/>
        </w:rPr>
        <w:t>Dear Sir or Madam,</w:t>
      </w:r>
    </w:p>
    <w:p>
      <w:pPr>
        <w:spacing w:after="160"/>
      </w:pPr>
      <w:r>
        <w:rPr>
          <w:b w:val="0"/>
        </w:rPr>
        <w:t>I am applying for the Graduate Trader (2027 Incoming Graduate, Full-Time) role in Amsterdam. I am a final-year Economics student at the University of Strathclyde, graduating in summer 2027 with a predicted 2:1. 3Red's graduate trader advert asks for a proven track record in a competitive activity such as poker or other strategic games, which describes how I have learned to make decisions under uncertainty.</w:t>
      </w:r>
    </w:p>
    <w:p>
      <w:pPr>
        <w:spacing w:after="160"/>
      </w:pPr>
      <w:r>
        <w:rPr>
          <w:b w:val="0"/>
        </w:rPr>
        <w:t>Most of what I am proudest of comes down to good decisions made with incomplete information. My lifetime poker cash-game winnings of over £40,000 came from expected-value reasoning, disciplined bet sizing and a strict 50-buy-in bankroll rule. I also finished 14th at the Irish U19 Chess Championships in 2023 and won 21 of 22 games in a simultaneous exhibition against players with an average FIDE rating of 1860. As Vice-President and then President of the Strathclyde Poker Society, I ran weekly tournaments for around 60 players on a £600-per-semester budget, reconciling every buy-in and prize pool.</w:t>
      </w:r>
    </w:p>
    <w:p>
      <w:pPr>
        <w:spacing w:after="160"/>
      </w:pPr>
      <w:r>
        <w:rPr>
          <w:b w:val="0"/>
        </w:rPr>
        <w:t>I pair that instinct with quantitative work I can defend line by line. I built a Monte Carlo option pricer in which a geometric-Asian control variate cut the standard error of arithmetic-Asian estimates by 97.24% at 100,000 paths, and my dissertation forecasts European gas volatility with mixed-frequency (MIDAS) models, testing whether better forecasts improve a volatility-targeted TTF futures strategy. Proprietary trading appeals to me because the feedback is immediate and impartial: every decision is priced, and improving means learning faster than the market. Nearly two years of busy bar shifts alongside full-time study, and now running the drinks programme as Head Mixologist at a new 200-cover Glasgow venue, have taught me to stay accurate when speed matters.</w:t>
      </w:r>
    </w:p>
    <w:p>
      <w:pPr>
        <w:spacing w:after="160"/>
      </w:pPr>
      <w:r>
        <w:rPr>
          <w:b w:val="0"/>
        </w:rPr>
        <w:t>3Red stands out to me because its graduate traders work alongside senior traders and developers on trading, quantitative research and technology from the start, and because it values the competitive, risk-aware thinking that games reward. I write Python, R and MATLAB and review large data sets for my research, and I would like to bring that, together with my competitive record, to 3Red's desks in Amsterdam.</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