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Partners Group (UK) Ltd</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Portfolio &amp; Quant Analyst (new graduate level) role in London. I am a final-year Economics student at the University of Strathclyde, graduating in summer 2027 with a predicted 2:1. Partners Group's Portfolio Solutions team, whose bespoke mandates drove most of the firm's record $16 billion of new commitments in the first half of 2026, works on the question my research keeps returning to: how to build a portfolio whose risk is properly understood.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Partners Group's Portfolio Solutions team stands out to me because it covers the whole chain from relative-value views to portfolio construction and monitoring across private markets, and bespoke solutions made up a clear majority of the firm's record fundraising in the first half of 2026. Private assets make risk harder to measure because their prices are observed infrequently, and my work separating true exposures from noise, from oil betas stripped of dollar moves in my dissertation to CAPM alphas across 694 portfolios, has given me a grounding in the econometrics that problem needs.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