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Macquarie Group</w:t>
      </w:r>
    </w:p>
    <w:p>
      <w:pPr>
        <w:spacing w:after="0"/>
      </w:pPr>
      <w:r>
        <w:rPr>
          <w:b w:val="0"/>
        </w:rPr>
        <w:t>Ropemaker Place, 28 Ropemaker Street</w:t>
      </w:r>
    </w:p>
    <w:p>
      <w:pPr>
        <w:spacing w:after="0"/>
      </w:pPr>
      <w:r>
        <w:rPr>
          <w:b w:val="0"/>
        </w:rPr>
        <w:t>London EC2Y 9HD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2027 Commodities and Global Markets Graduate Programme in London, with a particular interest in commodities, particularly energy. I am a final-year Economics student at the University of Strathclyde, graduating in summer 2027 with a predicted 2:1. Macquarie's recognition as Natural Gas/LNG House of the Year at the 2026 Energy Risk Awards matters to me because energy markets, and the currencies they move, are what my dissertation studies.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Macquarie's Commodities and Global Markets business stands out to me because it combines physical and financial expertise in gas, from the long-term LNG offtake agreements it signed with Texas LNG and AMIGO LNG in 2025 to the risk-management solutions it offers clients, and it was named Natural Gas/LNG House of the Year at the 2026 Energy Risk Awards. My dissertation tests whether a government's oil hedge changes how its currency trades OPEC news, and I would like to learn how Macquarie designs and prices the hedges its own clients rely on.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