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FICC and Equities (Sales and Trading) New Analyst Programme in London, with a particular interest in commodities. I am a final-year Economics student at the University of Strathclyde, graduating in summer 2027 with a predicted 2:1. Goldman Sachs's FICC business grew revenue 32% year on year in the second quarter of 2026, with commodities among the businesses driving the increase, and that is the part of the trading floor I most want to join.</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Goldman Sachs's FICC franchise stands out to me because its scale across rates, currencies and commodities lets it keep making markets for clients through volatile periods; FICC net revenues reached $4.59 billion in the second quarter of 2026, up 32% on the year, on higher activity in interest rate products, commodities and mortgages. My dissertation on how OPEC news moves currencies and my wheat spread strategy have taught me how quickly commodity risk can change, and I would like to learn how a desk manages that risk while still giving clients a price.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