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Capula Investment Management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Analyst Programme in London. I am a final-year Economics student at the University of Strathclyde, graduating in summer 2027 with a predicted 2:1. Capula's launch of a systematic commodities fund in 2026, its first major move beyond fixed income, overlaps directly with my own commodity research.</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Capula stands out to me because it is extending a rigorous, quantitative approach from bonds and currencies into raw materials: its new Capula Alternative Markets Alpha Fund trades commodities algorithmically, with room for $2 billion to $3 billion of capital. My dissertation sits on that same bridge between currencies and commodities and asks whether an apparent edge there survives a realistic trading test, so I would like to learn how a firm with Capula's discipline turns that kind of research into risk across its trading functions.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