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Winton</w:t>
      </w:r>
    </w:p>
    <w:p>
      <w:pPr>
        <w:spacing w:after="0"/>
      </w:pPr>
      <w:r>
        <w:rPr>
          <w:b w:val="0"/>
        </w:rPr>
        <w:t>Grove House, 27 Hammersmith Grove</w:t>
      </w:r>
    </w:p>
    <w:p>
      <w:pPr>
        <w:spacing w:after="0"/>
      </w:pPr>
      <w:r>
        <w:rPr>
          <w:b w:val="0"/>
        </w:rPr>
        <w:t>London W6 0NE</w:t>
      </w:r>
    </w:p>
    <w:p>
      <w:pPr>
        <w:spacing w:after="0"/>
      </w:pPr>
      <w:r>
        <w:rPr>
          <w:b w:val="0"/>
        </w:rPr>
      </w:r>
    </w:p>
    <w:p>
      <w:pPr>
        <w:spacing w:after="160"/>
      </w:pPr>
      <w:r>
        <w:rPr>
          <w:b w:val="0"/>
        </w:rPr>
        <w:t>Dear Sir or Madam,</w:t>
      </w:r>
    </w:p>
    <w:p>
      <w:pPr>
        <w:spacing w:after="160"/>
      </w:pPr>
      <w:r>
        <w:rPr>
          <w:b w:val="0"/>
        </w:rPr>
        <w:t>I am applying for the Quantitative Researcher – Graduate: 2027 role in London. I am a final-year Economics student at the University of Strathclyde, graduating in summer 2027 with a predicted 2:1. Winton's focus on statistical inference in financial markets describes the work I most enjoy, and its trend-following research is close to the hypothesis testing and backtesting I do myself.</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Winton stands out to me because it has built its business on statistical inference rather than narrative, and it keeps extending that research into new formats, bringing its flagship major-market trend strategy to a US mutual fund for the first time in October 2025. Correcting my CAPM results for running 694 tests at once taught me to distrust any result that has not survived a fair test, which is why my dissertation's predictions are fixed before I test them; I understand that is the standard Winton's researchers work to.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