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Millennium Capital Management (UK) LLP</w:t>
      </w:r>
    </w:p>
    <w:p>
      <w:pPr>
        <w:spacing w:after="0"/>
      </w:pPr>
      <w:r>
        <w:rPr>
          <w:b w:val="0"/>
        </w:rPr>
        <w:t>London</w:t>
      </w:r>
    </w:p>
    <w:p>
      <w:pPr>
        <w:spacing w:after="0"/>
      </w:pPr>
      <w:r>
        <w:rPr>
          <w:b w:val="0"/>
        </w:rPr>
      </w:r>
    </w:p>
    <w:p>
      <w:pPr>
        <w:spacing w:after="160"/>
      </w:pPr>
      <w:r>
        <w:rPr>
          <w:b w:val="0"/>
        </w:rPr>
        <w:t>Dear Sir or Madam,</w:t>
      </w:r>
    </w:p>
    <w:p>
      <w:pPr>
        <w:spacing w:after="160"/>
      </w:pPr>
      <w:r>
        <w:rPr>
          <w:b w:val="0"/>
        </w:rPr>
        <w:t>I am applying for the Graduate Analyst – Trading (Global Fixed Income, Currency and Commodities team) role in London. I am a final-year Economics student at the University of Strathclyde, graduating in summer 2027 with a predicted 2:1. Millennium's commitment to commodities, where natural gas trading drove much of its gains in 2023 and 2024, matches the market I know best.</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My lifetime poker winnings of over £40,000 came from respecting variance and sizing risk to a strict 50-buy-in bankroll rule, and as Treasurer of the Agricapital Society, which I helped grow to 126 members, I manage its budget and accounts.</w:t>
      </w:r>
    </w:p>
    <w:p>
      <w:pPr>
        <w:spacing w:after="160"/>
      </w:pPr>
      <w:r>
        <w:rPr>
          <w:b w:val="0"/>
        </w:rPr>
        <w:t>Millennium stands out to me because its platform gives individual teams real responsibility for risk, and its commitment to commodities runs deep, from the natural gas trading behind much of its commodities profit in 2023 and 2024 to its $1.5 billion backing of the Echion Capital commodities spin-out. A graduate role that mixes trading, research and software development across fixed income, currency and commodity markets suits someone whose dissertation links oil and currencies and whose work runs on code.</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