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Jane Street</w:t>
      </w:r>
    </w:p>
    <w:p>
      <w:pPr>
        <w:spacing w:after="0"/>
      </w:pPr>
      <w:r>
        <w:rPr>
          <w:b w:val="0"/>
        </w:rPr>
        <w:t>2½ Devonshire Square</w:t>
      </w:r>
    </w:p>
    <w:p>
      <w:pPr>
        <w:spacing w:after="0"/>
      </w:pPr>
      <w:r>
        <w:rPr>
          <w:b w:val="0"/>
        </w:rPr>
        <w:t>London EC2M 4UJ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Quantitative Trader (Full-Time, New Graduate) role in London. I am a final-year Economics student at the University of Strathclyde, graduating in summer 2027 with a predicted 2:1. Jane Street's view that how you think matters more than what you already know is why I am applying as an economist rather than a mathematician.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tests whether sovereign oil hedges make petro-currencies' oil betas smaller, kinked or one-sided on OPEC announcement days, with a pre-registered test of whether what remains is tradable.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Jane Street stands out to me because it gives new traders significant responsibility within weeks to months, backed by a year-long firmwide curriculum, and because its London presence is growing, with an offer placed on a new office that would double its footprint. I would bring the habit my own research has taught me, testing whether an apparent edge survives costs; my wheat spread's Sharpe ratio fell from 0.76 to 0.28 once I did.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