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Maven Securities</w:t>
      </w:r>
    </w:p>
    <w:p>
      <w:pPr>
        <w:spacing w:after="0"/>
      </w:pPr>
      <w:r>
        <w:rPr>
          <w:b w:val="0"/>
        </w:rPr>
        <w:t>Amsterdam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Graduate Trader Programme 2027 in Amsterdam. I am a final-year Economics student at the University of Strathclyde, graduating in summer 2027 with a predicted 2:1. Maven's options market making, where it is consistently ranked among the top three liquidity providers on the exchanges it trades, is the business I want to learn.</w:t>
      </w:r>
    </w:p>
    <w:p>
      <w:pPr>
        <w:spacing w:after="160"/>
      </w:pPr>
      <w:r>
        <w:rPr>
          <w:b w:val="0"/>
        </w:rPr>
        <w:t>Most of what I am proudest of comes down to good decisions made with incomplete information. My lifetime poker cash-game winnings of over £40,000 came from expected-value reasoning, disciplined bet sizing and a strict 50-buy-in bankroll rule. I also finished 14th at the Irish U19 Chess Championships in 2023 and won 21 of 22 games in a simultaneous exhibition against players with an average FIDE rating of 1860. As Vice-President and then President of the Strathclyde Poker Society, I ran weekly tournaments for around 60 players on a £600-per-semester budget, reconciling every buy-in and prize pool.</w:t>
      </w:r>
    </w:p>
    <w:p>
      <w:pPr>
        <w:spacing w:after="160"/>
      </w:pPr>
      <w:r>
        <w:rPr>
          <w:b w:val="0"/>
        </w:rPr>
        <w:t>I pair that instinct with quantitative work I can defend line by line. I built a Monte Carlo option pricer in which a geometric-Asian control variate cut the standard error of arithmetic-Asian estimates by 97% at 100,000 paths, and my dissertation tests whether sovereign oil hedges make petro-currencies' oil betas smaller, kinked or one-sided on OPEC announcement days, with a pre-registered test of whether what remains is tradable. Proprietary trading appeals to me because the feedback is immediate and impartial: every decision is priced, and improving means learning faster than the market. Nearly two years of busy bar shifts alongside full-time study, and now running the drinks programme as Head Mixologist at a new 200-cover Glasgow venue, have taught me to stay accurate when speed matters.</w:t>
      </w:r>
    </w:p>
    <w:p>
      <w:pPr>
        <w:spacing w:after="160"/>
      </w:pPr>
      <w:r>
        <w:rPr>
          <w:b w:val="0"/>
        </w:rPr>
        <w:t>Maven Securities stands out to me because it combines the reach of a top-three liquidity provider in listed options and futures with a size where a graduate's contribution is visible, and its programme begins with eleven weeks of structured training in London. Building my Monte Carlo pricer gave me a first-hand feel for how option values respond to volatility, and I would like to turn that understanding into quoting real markets.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