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Baillie Gifford &amp; Co</w:t>
      </w:r>
    </w:p>
    <w:p>
      <w:pPr>
        <w:spacing w:after="0"/>
      </w:pPr>
      <w:r>
        <w:rPr>
          <w:b w:val="0"/>
        </w:rPr>
        <w:t>Calton Square, 1 Greenside Row</w:t>
      </w:r>
    </w:p>
    <w:p>
      <w:pPr>
        <w:spacing w:after="0"/>
      </w:pPr>
      <w:r>
        <w:rPr>
          <w:b w:val="0"/>
        </w:rPr>
        <w:t>Edinburgh EH1 3AN</w:t>
      </w:r>
    </w:p>
    <w:p>
      <w:pPr>
        <w:spacing w:after="0"/>
      </w:pPr>
      <w:r>
        <w:rPr>
          <w:b w:val="0"/>
        </w:rPr>
      </w:r>
    </w:p>
    <w:p>
      <w:pPr>
        <w:spacing w:after="160"/>
      </w:pPr>
      <w:r>
        <w:rPr>
          <w:b w:val="0"/>
        </w:rPr>
        <w:t>Dear Sir or Madam,</w:t>
      </w:r>
    </w:p>
    <w:p>
      <w:pPr>
        <w:spacing w:after="160"/>
      </w:pPr>
      <w:r>
        <w:rPr>
          <w:b w:val="0"/>
        </w:rPr>
        <w:t>I am applying for the Investment Research Graduate Programme 2027 in Edinburgh. I am a final-year Economics student at the University of Strathclyde, graduating in summer 2027 with a predicted 2:1. Baillie Gifford's patience as a long-term growth investor, able to hold companies through both their private and public lives, is the opposite of the short-term noise my research tries to filter out.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Baillie Gifford stands out to me because its partnership structure lets it judge companies over five and ten years rather than quarters, and trusts such as Scottish Mortgage can back businesses through their private and public lifetimes. My factor research found that most apparent anomalies weaken under proper testing, which makes me respect a process built on deep company research held over long horizons, and I would be glad to learn it in Edinburgh, an hour from where I study.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