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Fidelity International</w:t>
      </w:r>
    </w:p>
    <w:p>
      <w:pPr>
        <w:spacing w:after="0"/>
      </w:pPr>
      <w:r>
        <w:rPr>
          <w:b w:val="0"/>
        </w:rPr>
        <w:t>4 Cannon Street</w:t>
      </w:r>
    </w:p>
    <w:p>
      <w:pPr>
        <w:spacing w:after="0"/>
      </w:pPr>
      <w:r>
        <w:rPr>
          <w:b w:val="0"/>
        </w:rPr>
        <w:t>London EC4M 5AB</w:t>
      </w:r>
    </w:p>
    <w:p>
      <w:pPr>
        <w:spacing w:after="0"/>
      </w:pPr>
      <w:r>
        <w:rPr>
          <w:b w:val="0"/>
        </w:rPr>
      </w:r>
    </w:p>
    <w:p>
      <w:pPr>
        <w:spacing w:after="160"/>
      </w:pPr>
      <w:r>
        <w:rPr>
          <w:b w:val="0"/>
        </w:rPr>
        <w:t>Dear Sir or Madam,</w:t>
      </w:r>
    </w:p>
    <w:p>
      <w:pPr>
        <w:spacing w:after="160"/>
      </w:pPr>
      <w:r>
        <w:rPr>
          <w:b w:val="0"/>
        </w:rPr>
        <w:t>I am applying for the Equity Research Graduate Programme 2027 in London, with a particular interest in energy and materials coverage. I am a final-year Economics student at the University of Strathclyde, graduating in summer 2027 with a predicted 2:1. Fidelity's research model, in which its analysts hold more than 20,000 company meetings a year, is the kind of primary research I want to learn to do.</w:t>
      </w:r>
    </w:p>
    <w:p>
      <w:pPr>
        <w:spacing w:after="160"/>
      </w:pPr>
      <w:r>
        <w:rPr>
          <w:b w:val="0"/>
        </w:rPr>
        <w:t>Equity research rewards a view that is stated plainly and tested honestly, and that is how I try to work. My dissertation, supervised by Dr Luigi Gifuni, asks whether governments that hedge oil change how their currencies react to OPEC news: I am building an original dataset of Norway's, Russia's and Mexico's hedging rules, writing down three predictions before testing them, and asking whether any effect that remains carries economic value. I also tested CAPM on 694 anomaly portfolios across 54 countries, finding that momentum and value alphas survive statistical scrutiny far more often than size, and my final-year modules include Industrial Economics and Natural Resource, Environmental and Energy Economics, which give me a framework for how industries compete.</w:t>
      </w:r>
    </w:p>
    <w:p>
      <w:pPr>
        <w:spacing w:after="160"/>
      </w:pPr>
      <w:r>
        <w:rPr>
          <w:b w:val="0"/>
        </w:rPr>
        <w:t>What draws me to research is the writing as much as the analysis: a note is only useful if a busy reader can act on it. As co-founder of the Strathclyde Agricapital Society, which I grew to 126 members, I published weekly research notes and dashboards and led sessions on transactions such as Olam Agri's USD 1.24bn stake sale to SALIC, explaining each to members from outside finance.</w:t>
      </w:r>
    </w:p>
    <w:p>
      <w:pPr>
        <w:spacing w:after="160"/>
      </w:pPr>
      <w:r>
        <w:rPr>
          <w:b w:val="0"/>
        </w:rPr>
        <w:t>Fidelity International's research platform stands out to me because its analysts speak to a company's management roughly every ten minutes of every working day, and because it publishes their collective view in its annual Analyst Survey, whose 2026 edition covers energy prices, rare earth metals and the effect of geopolitics on company earnings. Energy prices and geopolitics are the themes my dissertation studies through OPEC decisions and the currencies of oil exporters, and I would like to learn how Fidelity's analysts turn company meetings into a view a portfolio manager can act 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