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Janus Henderson Investors</w:t>
      </w:r>
    </w:p>
    <w:p>
      <w:pPr>
        <w:spacing w:after="0"/>
      </w:pPr>
      <w:r>
        <w:rPr>
          <w:b w:val="0"/>
        </w:rPr>
        <w:t>201 Bishopsgate</w:t>
      </w:r>
    </w:p>
    <w:p>
      <w:pPr>
        <w:spacing w:after="0"/>
      </w:pPr>
      <w:r>
        <w:rPr>
          <w:b w:val="0"/>
        </w:rPr>
        <w:t>London EC2M 3AE</w:t>
      </w:r>
    </w:p>
    <w:p>
      <w:pPr>
        <w:spacing w:after="0"/>
      </w:pPr>
      <w:r>
        <w:rPr>
          <w:b w:val="0"/>
        </w:rPr>
      </w:r>
    </w:p>
    <w:p>
      <w:pPr>
        <w:spacing w:after="160"/>
      </w:pPr>
      <w:r>
        <w:rPr>
          <w:b w:val="0"/>
        </w:rPr>
        <w:t>Dear Sir or Madam,</w:t>
      </w:r>
    </w:p>
    <w:p>
      <w:pPr>
        <w:spacing w:after="160"/>
      </w:pPr>
      <w:r>
        <w:rPr>
          <w:b w:val="0"/>
        </w:rPr>
        <w:t>I am applying for the Research Associate – Investment Graduate Programme 2027 in London, with a particular interest in energy and industrials coverage. I am a final-year Economics student at the University of Strathclyde, graduating in summer 2027 with a predicted 2:1. Janus Henderson's two-year immersion in its equities team, built on research that combines quantitative financial analysis with qualitative judgement, is the training I want.</w:t>
      </w:r>
    </w:p>
    <w:p>
      <w:pPr>
        <w:spacing w:after="160"/>
      </w:pPr>
      <w:r>
        <w:rPr>
          <w:b w:val="0"/>
        </w:rPr>
        <w:t>Equity research rewards a view that is stated plainly and tested honestly, and that is how I try to work. My dissertation, supervised by Dr Luigi Gifuni, asks whether governments that hedge oil change how their currencies react to OPEC news: I am building an original dataset of Norway's, Russia's and Mexico's hedging rules, writing down three predictions before testing them, and asking whether any effect that remains carries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Janus Henderson stands out to me because it is moving into private ownership under Trian and General Catalyst after regulators approved the deal in June 2026, keeping its management team and London headquarters and giving its equity teams room to think long term. The programme's blend of quantitative financial analysis and qualitative research matches how I work: my CAPM study tested 694 portfolios statistically, but explaining deals such as Olam Agri's stake sale to SALIC taught me that numbers only matter once you understand the business behind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