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Oxera</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Graduate Economics Analyst – Data Science and Econometrics role in London. I am a final-year Economics student at the University of Strathclyde, graduating in summer 2027 with a predicted 2:1. Oxera's dedicated Data Science and Econometrics track asks for exactly the empirical skills I have built in R, MATLAB and Python.</w:t>
      </w:r>
    </w:p>
    <w:p>
      <w:pPr>
        <w:spacing w:after="160"/>
      </w:pPr>
      <w:r>
        <w:rPr>
          <w:b w:val="0"/>
        </w:rPr>
        <w:t>The work I am proudest of follows a consulting arc: diagnose with data, recommend a change, then make it happen. At KONG, I analysed sales patterns and used them to refine our upselling prompts, raising average customer spend by an estimated 25%. As Head Mixologist at Le Set, a new 200-cover restaurant and cocktail lounge in Glasgow, I created the house cocktails and set the specifications for its classics from launch, wrote the batch specifications the team works to, and trained around 15 bar staff, several new to cocktail bartending, to deliver them consistently.</w:t>
      </w:r>
    </w:p>
    <w:p>
      <w:pPr>
        <w:spacing w:after="160"/>
      </w:pPr>
      <w:r>
        <w:rPr>
          <w:b w:val="0"/>
        </w:rPr>
        <w:t>Consulting appeals to me for the range of problems and the standard of thinking it demands: a recommendation has to be structured, evidenced and clear enough for a client to act on. My dissertation applies the same discipline to a broad question, whether governments that hedge oil for their economies change how their currencies react to OPEC news, by breaking it into three testable predictions for Norway, Russia and Mexico and testing each with event studies and difference-in-differences. In co-founding the Strathclyde Agricapital Society, I built an organisation from launch to 126 members and led weekly sessions on transactions such as Olam Agri's USD 1.24bn stake sale to SALIC.</w:t>
      </w:r>
    </w:p>
    <w:p>
      <w:pPr>
        <w:spacing w:after="160"/>
      </w:pPr>
      <w:r>
        <w:rPr>
          <w:b w:val="0"/>
        </w:rPr>
        <w:t>Oxera stands out to me because its graduate analysts apply serious empirical analysis to live competition, regulation and valuation questions, with dedicated tracks in data science and econometrics, finance and valuation, and competition and market design. My dissertation evaluates policy rules with difference-in-differences on an original dataset I am building from central bank and finance ministry records, and my CAPM study ran asset-pricing tests across 54 countries; I would like to bring those skills to questions where the answer shapes a regulator's decision.</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