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Baringa</w:t>
      </w:r>
    </w:p>
    <w:p>
      <w:pPr>
        <w:spacing w:after="0"/>
      </w:pPr>
      <w:r>
        <w:rPr>
          <w:b w:val="0"/>
        </w:rPr>
        <w:t>62 Buckingham Gate</w:t>
      </w:r>
    </w:p>
    <w:p>
      <w:pPr>
        <w:spacing w:after="0"/>
      </w:pPr>
      <w:r>
        <w:rPr>
          <w:b w:val="0"/>
        </w:rPr>
        <w:t>London SW1E 6AJ</w:t>
      </w:r>
    </w:p>
    <w:p>
      <w:pPr>
        <w:spacing w:after="0"/>
      </w:pPr>
      <w:r>
        <w:rPr>
          <w:b w:val="0"/>
        </w:rPr>
      </w:r>
    </w:p>
    <w:p>
      <w:pPr>
        <w:spacing w:after="160"/>
      </w:pPr>
      <w:r>
        <w:rPr>
          <w:b w:val="0"/>
        </w:rPr>
        <w:t>Dear Sir or Madam,</w:t>
      </w:r>
    </w:p>
    <w:p>
      <w:pPr>
        <w:spacing w:after="160"/>
      </w:pPr>
      <w:r>
        <w:rPr>
          <w:b w:val="0"/>
        </w:rPr>
        <w:t>I am applying for the Graduate Analyst Programme – Energy &amp; Resources in London. I am a final-year Economics student at the University of Strathclyde, graduating in summer 2027 with a predicted 2:1. Baringa's energy market work, including the Future of Gas report it prepared for Ireland's Commission for Regulation of Utilities in 2026, connects to my dissertation, which studies how governments manage the risk that energy prices pose to their economies.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Baringa's Energy and Resources practice stands out to me because it combines strategy advice with deep market modelling, and its Future of Gas work for Ireland's energy regulator shows it shaping the questions that will define how Europe's gas system is run. My dissertation tests whether government rules for managing oil revenue change how markets react to energy news, and I would like to help clients turn that kind of analysis into decisions on investment and risk.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