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Capital Economics</w:t>
      </w:r>
    </w:p>
    <w:p>
      <w:pPr>
        <w:spacing w:after="0"/>
      </w:pPr>
      <w:r>
        <w:rPr>
          <w:b w:val="0"/>
        </w:rPr>
        <w:t>Leconfield House, Curzon Street</w:t>
      </w:r>
    </w:p>
    <w:p>
      <w:pPr>
        <w:spacing w:after="0"/>
      </w:pPr>
      <w:r>
        <w:rPr>
          <w:b w:val="0"/>
        </w:rPr>
        <w:t>London W1J 5JA</w:t>
      </w:r>
    </w:p>
    <w:p>
      <w:pPr>
        <w:spacing w:after="0"/>
      </w:pPr>
      <w:r>
        <w:rPr>
          <w:b w:val="0"/>
        </w:rPr>
      </w:r>
    </w:p>
    <w:p>
      <w:pPr>
        <w:spacing w:after="160"/>
      </w:pPr>
      <w:r>
        <w:rPr>
          <w:b w:val="0"/>
        </w:rPr>
        <w:t>Dear Sir or Madam,</w:t>
      </w:r>
    </w:p>
    <w:p>
      <w:pPr>
        <w:spacing w:after="160"/>
      </w:pPr>
      <w:r>
        <w:rPr>
          <w:b w:val="0"/>
        </w:rPr>
        <w:t>I am applying for the Graduate Economist Scheme (September 2027) in London. I am a final-year Economics student at the University of Strathclyde, graduating in summer 2027 with a predicted 2:1. Capital Economics' recognition by FocusEconomics as the world's most accurate commodities forecaster matters to me because oil, and the way markets react to news about it, is at the centre of my dissertation.</w:t>
      </w:r>
    </w:p>
    <w:p>
      <w:pPr>
        <w:spacing w:after="160"/>
      </w:pPr>
      <w:r>
        <w:rPr>
          <w:b w:val="0"/>
        </w:rPr>
        <w:t>The work I am proudest of follows a consulting arc: diagnose with data, recommend a change, then make it happen. At KONG, I analysed sales patterns and used them to refine our upselling prompts, raising average customer spend by an estimated 25%. As Head Mixologist at Le Set, a new 200-cover restaurant and cocktail lounge in Glasgow, I created the house cocktails and set the specifications for its classics from launch, wrote the batch specifications the team works to, and trained around 15 bar staff, several new to cocktail bartending, to deliver them consistently.</w:t>
      </w:r>
    </w:p>
    <w:p>
      <w:pPr>
        <w:spacing w:after="160"/>
      </w:pPr>
      <w:r>
        <w:rPr>
          <w:b w:val="0"/>
        </w:rPr>
        <w:t>Consulting appeals to me for the range of problems and the standard of thinking it demands: a recommendation has to be structured, evidenced and clear enough for a client to act on. My dissertation applies the same discipline to a broad question, whether governments that hedge oil for their economies change how their currencies react to OPEC news, by breaking it into three testable predictions for Norway, Russia and Mexico and testing each with event studies and difference-in-differences. In co-founding the Strathclyde Agricapital Society, I built an organisation from launch to 126 members and led weekly sessions on transactions such as Olam Agri's USD 1.24bn stake sale to SALIC.</w:t>
      </w:r>
    </w:p>
    <w:p>
      <w:pPr>
        <w:spacing w:after="160"/>
      </w:pPr>
      <w:r>
        <w:rPr>
          <w:b w:val="0"/>
        </w:rPr>
        <w:t>Capital Economics stands out to me because its independence lets it publish clear, testable calls, and its record can be checked: FocusEconomics named it the most accurate forecaster of commodity prices, including WTI crude oil and liquefied natural gas. Writing down my dissertation's predictions about oil and currencies before testing them is teaching me how much discipline a checkable record takes, and a two-year trainee scheme with rotations across four teams and support for postgraduate study is exactly the applied macroeconomics training I want.</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