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DC Advisory</w:t>
      </w:r>
    </w:p>
    <w:p>
      <w:pPr>
        <w:spacing w:after="0"/>
      </w:pPr>
      <w:r>
        <w:rPr>
          <w:b w:val="0"/>
        </w:rPr>
        <w:t>5 King William Street</w:t>
      </w:r>
    </w:p>
    <w:p>
      <w:pPr>
        <w:spacing w:after="0"/>
      </w:pPr>
      <w:r>
        <w:rPr>
          <w:b w:val="0"/>
        </w:rPr>
        <w:t>London EC4N 7DA</w:t>
      </w:r>
    </w:p>
    <w:p>
      <w:pPr>
        <w:spacing w:after="0"/>
      </w:pPr>
      <w:r>
        <w:rPr>
          <w:b w:val="0"/>
        </w:rPr>
      </w:r>
    </w:p>
    <w:p>
      <w:pPr>
        <w:spacing w:after="160"/>
      </w:pPr>
      <w:r>
        <w:rPr>
          <w:b w:val="0"/>
        </w:rPr>
        <w:t>Dear Sir or Madam,</w:t>
      </w:r>
    </w:p>
    <w:p>
      <w:pPr>
        <w:spacing w:after="160"/>
      </w:pPr>
      <w:r>
        <w:rPr>
          <w:b w:val="0"/>
        </w:rPr>
        <w:t>I am applying for the 2027 Graduate Analyst Programme in London. I am a final-year Economics student at the University of Strathclyde, graduating in summer 2027 with a predicted 2:1. DC Advisory's role advising OMERS Private Equity on the sale of Network Plus to Warburg Pincus in June 2026 shows the kind of UK infrastructure work I would most like to learn.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DC Advisory stands out to me because it pairs a mid-market focus, where analysts see deals from origination to completion, with real depth in infrastructure and energy; in June 2026 it advised OMERS Private Equity on the sale of Network Plus, which helps maintain and improve the UK's critical infrastructure, to Warburg Pincus. My dissertation on how oil-price risk is hedged is giving me a working understanding of how energy-price exposure shapes returns, and a programme that recruits only eight to ten graduates a year would let me contribute to live deals early.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