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KPMG</w:t>
      </w:r>
    </w:p>
    <w:p>
      <w:pPr>
        <w:spacing w:after="0"/>
      </w:pPr>
      <w:r>
        <w:rPr>
          <w:b w:val="0"/>
        </w:rPr>
        <w:t>1 Harbourmaster Place, IFSC</w:t>
      </w:r>
    </w:p>
    <w:p>
      <w:pPr>
        <w:spacing w:after="0"/>
      </w:pPr>
      <w:r>
        <w:rPr>
          <w:b w:val="0"/>
        </w:rPr>
        <w:t>Dublin 1, Ireland</w:t>
      </w:r>
    </w:p>
    <w:p>
      <w:pPr>
        <w:spacing w:after="0"/>
      </w:pPr>
      <w:r>
        <w:rPr>
          <w:b w:val="0"/>
        </w:rPr>
      </w:r>
    </w:p>
    <w:p>
      <w:pPr>
        <w:spacing w:after="160"/>
      </w:pPr>
      <w:r>
        <w:rPr>
          <w:b w:val="0"/>
        </w:rPr>
        <w:t>Dear Sir or Madam,</w:t>
      </w:r>
    </w:p>
    <w:p>
      <w:pPr>
        <w:spacing w:after="160"/>
      </w:pPr>
      <w:r>
        <w:rPr>
          <w:b w:val="0"/>
        </w:rPr>
        <w:t>I am applying for the Corporate Finance &amp; Transaction Services Graduate Programme 2027 in Dublin. I am a final-year Economics student at the University of Strathclyde, graduating in summer 2027 with a predicted 2:1. KPMG Ireland's record as the leading corporate finance adviser to Ireland's renewable energy industry, and the energy-transition focus within its M&amp;A team, connects directly to my research on energy markets.</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KPMG Ireland's Deal Advisory team stands out to me because it has been the leading corporate finance adviser to Irish renewable energy for two decades, and it now runs M&amp;A work with a dedicated energy-transition focus alongside debt advisory, valuations and infrastructure. My dissertation studies how governments manage the oil-price risk in their economies, and I would like to apply that understanding to the transactions that fund the energy transition while working towards a professional qualification.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