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Capital Dynamics</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Analyst, Clean Energy role in London. I am a final-year Economics student at the University of Strathclyde, graduating in summer 2027 with a predicted 2:1. Capital Dynamics' £100 million joint venture with Solo Renewables for long-duration energy storage in Northern Ireland caught my attention as someone from Belfast who studies volatility in European energy markets.</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Capital Dynamics stands out to me because its clean energy team invests directly in the assets the energy transition needs, from two UK solar projects of at least 121 MWp acquired in December 2025 with Contracts for Difference to a 170 MW, four-hour battery project in the Republic of Ireland. My dissertation studies how energy-price risk is hedged and who ends up bearing it, and I would like to apply that thinking to the revenue risks of solar and storage assets at a firm of around 150 professionals where an analyst's work is visible.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