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SSE plc</w:t>
      </w:r>
    </w:p>
    <w:p>
      <w:pPr>
        <w:spacing w:after="0"/>
      </w:pPr>
      <w:r>
        <w:rPr>
          <w:b w:val="0"/>
        </w:rPr>
        <w:t>Inveralmond House, 200 Dunkeld Road</w:t>
      </w:r>
    </w:p>
    <w:p>
      <w:pPr>
        <w:spacing w:after="0"/>
      </w:pPr>
      <w:r>
        <w:rPr>
          <w:b w:val="0"/>
        </w:rPr>
        <w:t>Perth PH1 3AQ</w:t>
      </w:r>
    </w:p>
    <w:p>
      <w:pPr>
        <w:spacing w:after="0"/>
      </w:pPr>
      <w:r>
        <w:rPr>
          <w:b w:val="0"/>
        </w:rPr>
      </w:r>
    </w:p>
    <w:p>
      <w:pPr>
        <w:spacing w:after="160"/>
      </w:pPr>
      <w:r>
        <w:rPr>
          <w:b w:val="0"/>
        </w:rPr>
        <w:t>Dear Sir or Madam,</w:t>
      </w:r>
    </w:p>
    <w:p>
      <w:pPr>
        <w:spacing w:after="160"/>
      </w:pPr>
      <w:r>
        <w:rPr>
          <w:b w:val="0"/>
        </w:rPr>
        <w:t>I am applying for the Energy Markets Graduate Programme 2027 in Edinburgh or Perth, with a particular interest in trading and asset optimisation. I am a final-year Economics student at the University of Strathclyde, graduating in summer 2027 with a predicted 2:1. SSE Energy Markets trades SSE's generation in the wholesale markets, including the 150 MW Ferrybridge battery that entered full operation in March 2026, which is where my research on how energy-price risk is hedged becomes practical.</w:t>
      </w:r>
    </w:p>
    <w:p>
      <w:pPr>
        <w:spacing w:after="160"/>
      </w:pPr>
      <w:r>
        <w:rPr>
          <w:b w:val="0"/>
        </w:rPr>
        <w:t>Much of my work centres on commodity markets. My dissertation, supervised by Dr Luigi Gifuni, tests whether governments that hedge oil change how their currencies react to OPEC news: whether Norway's krone conversions, Russia's 2017–22 budget rule and Mexico's put hedge make the oil beta smaller, kinked or one-sided, and whether any beta that remains can be traded after costs. As co-founder of the Strathclyde Agricapital Society, which I grew to 126 members, I built a wheat calendar-spread strategy in R from futures curve structure and CFTC Commitments of Traders positioning, and published weekly research notes for members.</w:t>
      </w:r>
    </w:p>
    <w:p>
      <w:pPr>
        <w:spacing w:after="160"/>
      </w:pPr>
      <w:r>
        <w:rPr>
          <w:b w:val="0"/>
        </w:rPr>
        <w:t>Sales and trading appeals to me because it joins analysis to a live price and to a client who needs a clear answer quickly. Writing those weekly notes taught me to turn analysis into a view that non-specialists can act on. In nearly two years at KONG, I learned that a recommendation lands only when it fits the person hearing it: by analysing sales patterns and refining our upselling prompts, I raised average customer spend by an estimated 25%. I also take risk seriously; my lifetime poker winnings of over £40,000 were built on disciplined bet sizing and a strict bankroll rule.</w:t>
      </w:r>
    </w:p>
    <w:p>
      <w:pPr>
        <w:spacing w:after="160"/>
      </w:pPr>
      <w:r>
        <w:rPr>
          <w:b w:val="0"/>
        </w:rPr>
        <w:t>SSE Energy Markets stands out to me because it optimises a portfolio that is changing fast, from the Ferrybridge battery to the 170 MW Platin power station in Ireland, where construction began in June 2026, and its graduate placements span trading and asset optimisation, market analysis and energy economics, and weather and forecasting. Measuring how quickly OPEC news reaches prices and currencies is teaching me how fast fundamentals move markets, and I would like to see those signals turn into dispatch, hedging and trading decisions on a desk in Scotland.</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