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Statkraft UK</w:t>
      </w:r>
    </w:p>
    <w:p>
      <w:pPr>
        <w:spacing w:after="0"/>
      </w:pPr>
      <w:r>
        <w:rPr>
          <w:b w:val="0"/>
        </w:rPr>
        <w:t>41 Moorgate</w:t>
      </w:r>
    </w:p>
    <w:p>
      <w:pPr>
        <w:spacing w:after="0"/>
      </w:pPr>
      <w:r>
        <w:rPr>
          <w:b w:val="0"/>
        </w:rPr>
        <w:t>London EC2R 6PP</w:t>
      </w:r>
    </w:p>
    <w:p>
      <w:pPr>
        <w:spacing w:after="0"/>
      </w:pPr>
      <w:r>
        <w:rPr>
          <w:b w:val="0"/>
        </w:rPr>
      </w:r>
    </w:p>
    <w:p>
      <w:pPr>
        <w:spacing w:after="160"/>
      </w:pPr>
      <w:r>
        <w:rPr>
          <w:b w:val="0"/>
        </w:rPr>
        <w:t>Dear Sir or Madam,</w:t>
      </w:r>
    </w:p>
    <w:p>
      <w:pPr>
        <w:spacing w:after="160"/>
      </w:pPr>
      <w:r>
        <w:rPr>
          <w:b w:val="0"/>
        </w:rPr>
        <w:t>I am applying for the International Trainee Programme (autumn 2027) in London, with a particular interest in power and gas trading. I am a final-year Economics student at the University of Strathclyde, graduating in summer 2027 with a predicted 2:1. Statkraft's second-quarter 2026 results, in which higher Nordic power prices lifted underlying EBITDA to NOK 6.6 billion despite lower hydropower output, show how much value sits in managing price and volume risk together.</w:t>
      </w:r>
    </w:p>
    <w:p>
      <w:pPr>
        <w:spacing w:after="160"/>
      </w:pPr>
      <w:r>
        <w:rPr>
          <w:b w:val="0"/>
        </w:rPr>
        <w:t>Much of my work centres on commodity markets. My dissertation, supervised by Dr Luigi Gifuni, tests whether governments that hedge oil change how their currencies react to OPEC news: whether Norway's krone conversions, Russia's 2017–22 budget rule and Mexico's put hedge make the oil beta smaller, kinked or one-sided, and whether any beta that remains can be traded after costs. As co-founder of the Strathclyde Agricapital Society, which I grew to 126 members, I built a wheat calendar-spread strategy in R from futures curve structure and CFTC Commitments of Traders positioning, and published weekly research notes for members.</w:t>
      </w:r>
    </w:p>
    <w:p>
      <w:pPr>
        <w:spacing w:after="160"/>
      </w:pPr>
      <w:r>
        <w:rPr>
          <w:b w:val="0"/>
        </w:rPr>
        <w:t>Sales and trading appeals to me because it joins analysis to a live price and to a client who needs a clear answer quickly. Writing those weekly notes taught me to turn analysis into a view that non-specialists can act on. In nearly two years at KONG, I learned that a recommendation lands only when it fits the person hearing it: by analysing sales patterns and refining our upselling prompts, I raised average customer spend by an estimated 25%. I also take risk seriously; my lifetime poker winnings of over £40,000 were built on disciplined bet sizing and a strict bankroll rule.</w:t>
      </w:r>
    </w:p>
    <w:p>
      <w:pPr>
        <w:spacing w:after="160"/>
      </w:pPr>
      <w:r>
        <w:rPr>
          <w:b w:val="0"/>
        </w:rPr>
        <w:t>Statkraft stands out to me because, as Europe's largest renewable generator, its trading desks must manage weather, hydrology and prices at the same time, and its international trainee programme gives graduates rotations across that business. My dissertation tests whether Norway's rule-based krone conversions shield the krone from oil news, so I would value learning how a Norwegian state-owned generator decides which energy-price risks to hedge and which to carry.</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