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Gunvor SA</w:t>
      </w:r>
    </w:p>
    <w:p>
      <w:pPr>
        <w:spacing w:after="0"/>
      </w:pPr>
      <w:r>
        <w:rPr>
          <w:b w:val="0"/>
        </w:rPr>
        <w:t>80-84 Rue du Rhône</w:t>
      </w:r>
    </w:p>
    <w:p>
      <w:pPr>
        <w:spacing w:after="0"/>
      </w:pPr>
      <w:r>
        <w:rPr>
          <w:b w:val="0"/>
        </w:rPr>
        <w:t>1204 Geneva, Switzerland</w:t>
      </w:r>
    </w:p>
    <w:p>
      <w:pPr>
        <w:spacing w:after="0"/>
      </w:pPr>
      <w:r>
        <w:rPr>
          <w:b w:val="0"/>
        </w:rPr>
      </w:r>
    </w:p>
    <w:p>
      <w:pPr>
        <w:spacing w:after="160"/>
      </w:pPr>
      <w:r>
        <w:rPr>
          <w:b w:val="0"/>
        </w:rPr>
        <w:t>Dear Sir or Madam,</w:t>
      </w:r>
    </w:p>
    <w:p>
      <w:pPr>
        <w:spacing w:after="160"/>
      </w:pPr>
      <w:r>
        <w:rPr>
          <w:b w:val="0"/>
        </w:rPr>
        <w:t>I am applying for the Global Graduate Program 2027 – Trading &amp; Supply Chain in Geneva, with a particular interest in natural gas, LNG and power. I am a final-year Economics student at the University of Strathclyde, graduating in summer 2027 with a predicted 2:1. Gunvor's energy segment of natural gas, LNG and power delivered its strongest result in 2025, and the firm matched its full-year 2025 gross profit in the first quarter of 2026 alone, which makes its gas and LNG business the part of commodity trading I most want to learn.</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Gunvor stands out to me because it is a physical trader whose graduate programme rotates through trading desks, risk, operations and analytics in Geneva, with possible rotations in Singapore, Houston, Tallinn or London. Physical trading depends on storage, shipping and timing in ways that paper markets alone do not capture, and my dissertation's focus on how OPEC supply news moves markets gives me a starting point for learning the physical side of the business.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