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Ruffer LLP</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Investment Graduate Programme in London. I am a final-year Economics student at the University of Strathclyde, graduating in summer 2027 with a predicted 2:1. Ruffer's absolute-return approach, which helped Ruffer Investment Company deliver a 4.6% NAV total return in the year to June 2026 while keeping its protective positions in place, reflects the risk-first thinking that runs through my own research.</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Ruffer stands out to me because it treats protecting capital as seriously as growing it: in the year to June 2026, Ruffer Investment Company's equity and gold positions more than paid for the cost of its protection, which spans credit and derivative strategies, the yen and selective duration. My dissertation is about protection too, asking whether governments' oil hedges, from Norway's krone conversions to Mexico's put options, change the risk their currencies carry, and I would like to learn how Ruffer's research team decides when protection is worth its cost.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