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Rathbones</w:t>
      </w:r>
    </w:p>
    <w:p>
      <w:pPr>
        <w:spacing w:after="0"/>
      </w:pPr>
      <w:r>
        <w:rPr>
          <w:b w:val="0"/>
        </w:rPr>
        <w:t>Glasgow</w:t>
      </w:r>
    </w:p>
    <w:p>
      <w:pPr>
        <w:spacing w:after="0"/>
      </w:pPr>
      <w:r>
        <w:rPr>
          <w:b w:val="0"/>
        </w:rPr>
      </w:r>
    </w:p>
    <w:p>
      <w:pPr>
        <w:spacing w:after="160"/>
      </w:pPr>
      <w:r>
        <w:rPr>
          <w:b w:val="0"/>
        </w:rPr>
        <w:t>Dear Sir or Madam,</w:t>
      </w:r>
    </w:p>
    <w:p>
      <w:pPr>
        <w:spacing w:after="160"/>
      </w:pPr>
      <w:r>
        <w:rPr>
          <w:b w:val="0"/>
        </w:rPr>
        <w:t>I am applying for the Graduate Wealth Manager Programme (September 2027) in Glasgow. I am a final-year Economics student at the University of Strathclyde, graduating in summer 2027 with a predicted 2:1. Rathbones' growth to £120.7 billion of funds under management and administration by June 2026, with the Investec Wealth migration complete, makes its Glasgow office a strong place to train as an investment manager.</w:t>
      </w:r>
    </w:p>
    <w:p>
      <w:pPr>
        <w:spacing w:after="160"/>
      </w:pPr>
      <w:r>
        <w:rPr>
          <w:b w:val="0"/>
        </w:rPr>
        <w:t>Private banking depends on trust, and trust is earned by explaining complex things clearly. As co-founder of the Strathclyde Agricapital Society, which I grew to 126 members, I led weekly research sessions on transactions such as Olam Agri's USD 1.24bn stake sale to SALIC and published research notes written for members from outside finance. In nearly two years at KONG, I learned that a recommendation works only when it fits the person hearing it: by analysing sales patterns and refining our upselling prompts, I raised average customer spend by an estimated 25%, while reconciling cash and card takings at the end of every shift.</w:t>
      </w:r>
    </w:p>
    <w:p>
      <w:pPr>
        <w:spacing w:after="160"/>
      </w:pPr>
      <w:r>
        <w:rPr>
          <w:b w:val="0"/>
        </w:rPr>
        <w:t>I pair that with a rigorous grounding in how investments behave. I tested CAPM on 694 anomaly portfolios across 54 countries, and my dissertation tests whether governments that hedge oil change how their currencies react to OPEC news, and whether any effect that remains is worth trading after costs. Private banking appeals to me because it brings both sides together: rigorous investment thinking in service of a long-term relationship with a client and their family. As Head Mixologist at Le Set, a new 200-cover Glasgow venue, I also train around 15 staff to deliver a consistent standard every shift.</w:t>
      </w:r>
    </w:p>
    <w:p>
      <w:pPr>
        <w:spacing w:after="160"/>
      </w:pPr>
      <w:r>
        <w:rPr>
          <w:b w:val="0"/>
        </w:rPr>
        <w:t>Rathbones stands out to me because its graduates join as trainee investment managers on a two-year rotational programme, studying for the Investment Advice Diploma and then Level 7 qualifications such as Chartered Wealth Manager. I want to build exactly that combination of investment rigour and client trust, close to where I study, and I would bring the research habits of my dissertation and the client instinct I developed in hospitality.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