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Hymans Robertson LLP</w:t>
      </w:r>
    </w:p>
    <w:p>
      <w:pPr>
        <w:spacing w:after="0"/>
      </w:pPr>
      <w:r>
        <w:rPr>
          <w:b w:val="0"/>
        </w:rPr>
        <w:t>20 Waterloo Street</w:t>
      </w:r>
    </w:p>
    <w:p>
      <w:pPr>
        <w:spacing w:after="0"/>
      </w:pPr>
      <w:r>
        <w:rPr>
          <w:b w:val="0"/>
        </w:rPr>
        <w:t>Glasgow G2 6DB</w:t>
      </w:r>
    </w:p>
    <w:p>
      <w:pPr>
        <w:spacing w:after="0"/>
      </w:pPr>
      <w:r>
        <w:rPr>
          <w:b w:val="0"/>
        </w:rPr>
      </w:r>
    </w:p>
    <w:p>
      <w:pPr>
        <w:spacing w:after="160"/>
      </w:pPr>
      <w:r>
        <w:rPr>
          <w:b w:val="0"/>
        </w:rPr>
        <w:t>Dear Sir or Madam,</w:t>
      </w:r>
    </w:p>
    <w:p>
      <w:pPr>
        <w:spacing w:after="160"/>
      </w:pPr>
      <w:r>
        <w:rPr>
          <w:b w:val="0"/>
        </w:rPr>
        <w:t>I am applying for the Pensions Governance &amp; Investment Consulting Graduate Programme 2027 in Glasgow. I am a final-year Economics student at the University of Strathclyde, graduating in summer 2027 with a predicted 2:1. Hymans Robertson's advice to local government pension funds as they adapt to the draft LGPS pooling regulations of 2026 puts it at the centre of how a large share of UK pension capital will be invested.</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Hymans Robertson stands out to me because its investment consultants help pension committees and trustees set strategy, select managers and manage risk for schemes that must pay pensions for decades, and its graduates join an investment DB or DC team from the start. My research on what a return is worth once its risk is understood bears directly on that advice, and I would be glad to build my career at a firm with its roots in Glasgow.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