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Aegon Asset Management</w:t>
      </w:r>
    </w:p>
    <w:p>
      <w:pPr>
        <w:spacing w:after="0"/>
      </w:pPr>
      <w:r>
        <w:rPr>
          <w:b w:val="0"/>
        </w:rPr>
        <w:t>3 Lochside Crescent</w:t>
      </w:r>
    </w:p>
    <w:p>
      <w:pPr>
        <w:spacing w:after="0"/>
      </w:pPr>
      <w:r>
        <w:rPr>
          <w:b w:val="0"/>
        </w:rPr>
        <w:t>Edinburgh EH12 9SA</w:t>
      </w:r>
    </w:p>
    <w:p>
      <w:pPr>
        <w:spacing w:after="0"/>
      </w:pPr>
      <w:r>
        <w:rPr>
          <w:b w:val="0"/>
        </w:rPr>
      </w:r>
    </w:p>
    <w:p>
      <w:pPr>
        <w:spacing w:after="160"/>
      </w:pPr>
      <w:r>
        <w:rPr>
          <w:b w:val="0"/>
        </w:rPr>
        <w:t>Dear Sir or Madam,</w:t>
      </w:r>
    </w:p>
    <w:p>
      <w:pPr>
        <w:spacing w:after="160"/>
      </w:pPr>
      <w:r>
        <w:rPr>
          <w:b w:val="0"/>
        </w:rPr>
        <w:t>I am applying for the NextGen Traineeship (Investments) in Edinburgh. I am a final-year Economics student at the University of Strathclyde, graduating in summer 2027 with a predicted 2:1. Aegon Asset Management's NextGen Traineeship, with rotations across investment and operations teams, capstone projects and mentoring from senior professionals, is a structured way into investing that I can pursue in Edinburgh.</w:t>
      </w:r>
    </w:p>
    <w:p>
      <w:pPr>
        <w:spacing w:after="160"/>
      </w:pPr>
      <w:r>
        <w:rPr>
          <w:b w:val="0"/>
        </w:rPr>
        <w:t>My academic work centres on a question asset managers answer every day: what is a return worth once its risk is understood? I tested CAPM on 694 anomaly portfolios across 54 countries and found it fails jointly in 48 of 53, with momentum and value earning the most persistent alphas. My dissertation, supervised by Dr Luigi Gifuni, asks whether governments that hedge oil change how their currencies react to OPEC news, through Norway's krone conversions, Russia's 2017–22 budget rule and Mexico's put hedge, and whether any oil risk that remains is worth trading after costs, a question that matters to any portfolio with commodity or currency exposure.</w:t>
      </w:r>
    </w:p>
    <w:p>
      <w:pPr>
        <w:spacing w:after="160"/>
      </w:pPr>
      <w:r>
        <w:rPr>
          <w:b w:val="0"/>
        </w:rPr>
        <w:t>Asset management appeals to me because it rewards a process that holds up over years rather than a single good call, and because the money belongs to people relying on that process. As co-founder of the Strathclyde Agricapital Society, which I grew to 126 members, I led weekly research sessions on transactions such as Olam Agri's USD 1.24bn stake sale to SALIC and published weekly research notes for members from outside finance. That work taught me that a sound view is only half the job; it also has to be explained clearly to the people who rely on it.</w:t>
      </w:r>
    </w:p>
    <w:p>
      <w:pPr>
        <w:spacing w:after="160"/>
      </w:pPr>
      <w:r>
        <w:rPr>
          <w:b w:val="0"/>
        </w:rPr>
        <w:t>Aegon Asset Management stands out to me because its Edinburgh investment teams manage portfolios for clients worldwide, and its traineeship combines rotations with support for a recognised professional qualification. My dissertation and CAPM study have given me a grounding in how returns and risk are measured, and I would like to learn how Aegon's portfolio managers turn that analysis into decisions for clients.</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