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Columbia Threadneedle Investments</w:t>
      </w:r>
    </w:p>
    <w:p>
      <w:pPr>
        <w:spacing w:after="0"/>
      </w:pPr>
      <w:r>
        <w:rPr>
          <w:b w:val="0"/>
        </w:rPr>
        <w:t>Cannon Place, 78 Cannon Street</w:t>
      </w:r>
    </w:p>
    <w:p>
      <w:pPr>
        <w:spacing w:after="0"/>
      </w:pPr>
      <w:r>
        <w:rPr>
          <w:b w:val="0"/>
        </w:rPr>
        <w:t>London EC4N 6AG</w:t>
      </w:r>
    </w:p>
    <w:p>
      <w:pPr>
        <w:spacing w:after="0"/>
      </w:pPr>
      <w:r>
        <w:rPr>
          <w:b w:val="0"/>
        </w:rPr>
      </w:r>
    </w:p>
    <w:p>
      <w:pPr>
        <w:spacing w:after="160"/>
      </w:pPr>
      <w:r>
        <w:rPr>
          <w:b w:val="0"/>
        </w:rPr>
        <w:t>Dear Sir or Madam,</w:t>
      </w:r>
    </w:p>
    <w:p>
      <w:pPr>
        <w:spacing w:after="160"/>
      </w:pPr>
      <w:r>
        <w:rPr>
          <w:b w:val="0"/>
        </w:rPr>
        <w:t>I am applying for the Investments Graduate Programme (Leadership Development Programme) in London. I am a final-year Economics student at the University of Strathclyde, graduating in summer 2027 with a predicted 2:1. Columbia Threadneedle's Investments Graduate programme, rotating through equity and fixed income research, portfolio management and trading over 24 months, is one of the broadest starts in asset management.</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Columbia Threadneedle stands out to me because its graduate rotations cover research, portfolio management and trading, and its trainees join a network of around 250 peers through Investment20/20, which suits someone who wants to understand the whole investment process before specialising. My CAPM research and my dissertation's work on currency and commodity risk have prepared me for the research rotations, and I would like to see how those ideas are tested inside a global fund manager.</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