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LCP Delta</w:t>
      </w:r>
    </w:p>
    <w:p>
      <w:pPr>
        <w:spacing w:after="0"/>
      </w:pPr>
      <w:r>
        <w:rPr>
          <w:b w:val="0"/>
        </w:rPr>
        <w:t>Argyle House, Lady Lawson Street</w:t>
      </w:r>
    </w:p>
    <w:p>
      <w:pPr>
        <w:spacing w:after="0"/>
      </w:pPr>
      <w:r>
        <w:rPr>
          <w:b w:val="0"/>
        </w:rPr>
        <w:t>Edinburgh EH3 9DR</w:t>
      </w:r>
    </w:p>
    <w:p>
      <w:pPr>
        <w:spacing w:after="0"/>
      </w:pPr>
      <w:r>
        <w:rPr>
          <w:b w:val="0"/>
        </w:rPr>
      </w:r>
    </w:p>
    <w:p>
      <w:pPr>
        <w:spacing w:after="160"/>
      </w:pPr>
      <w:r>
        <w:rPr>
          <w:b w:val="0"/>
        </w:rPr>
        <w:t>Dear Sir or Madam,</w:t>
      </w:r>
    </w:p>
    <w:p>
      <w:pPr>
        <w:spacing w:after="160"/>
      </w:pPr>
      <w:r>
        <w:rPr>
          <w:b w:val="0"/>
        </w:rPr>
        <w:t>I am applying for the Energy Research Analysis Graduate Programme (September 2027) in Edinburgh. I am a final-year Economics student at the University of Strathclyde, graduating in summer 2027 with a predicted 2:1. LCP Delta's Edinburgh research team, whose European Energy Transition report forecasts 13% annual growth in UK household electrification to 2030, works on the questions about energy demand and flexibility that my studies keep returning to.</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LCP Delta stands out to me because its graduates support both one-off client projects and subscription research on how households and businesses use energy, using data, insights and models to advise clients from energy majors to start-ups. My dissertation builds an original dataset of how governments manage oil-price risk and tests it econometrically, and I would like to apply the same mix of econometrics and clear writing to research that clients rely on, without leaving Scotland.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