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Cambridge Econometrics</w:t>
      </w:r>
    </w:p>
    <w:p>
      <w:pPr>
        <w:spacing w:after="0"/>
      </w:pPr>
      <w:r>
        <w:rPr>
          <w:b w:val="0"/>
        </w:rPr>
        <w:t>Covent Garden</w:t>
      </w:r>
    </w:p>
    <w:p>
      <w:pPr>
        <w:spacing w:after="0"/>
      </w:pPr>
      <w:r>
        <w:rPr>
          <w:b w:val="0"/>
        </w:rPr>
        <w:t>Cambridge CB1 2HT</w:t>
      </w:r>
    </w:p>
    <w:p>
      <w:pPr>
        <w:spacing w:after="0"/>
      </w:pPr>
      <w:r>
        <w:rPr>
          <w:b w:val="0"/>
        </w:rPr>
      </w:r>
    </w:p>
    <w:p>
      <w:pPr>
        <w:spacing w:after="160"/>
      </w:pPr>
      <w:r>
        <w:rPr>
          <w:b w:val="0"/>
        </w:rPr>
        <w:t>Dear Sir or Madam,</w:t>
      </w:r>
    </w:p>
    <w:p>
      <w:pPr>
        <w:spacing w:after="160"/>
      </w:pPr>
      <w:r>
        <w:rPr>
          <w:b w:val="0"/>
        </w:rPr>
        <w:t>I am applying for the Graduate Training Programme in Cambridge. I am a final-year Economics student at the University of Strathclyde, graduating in summer 2027 with a predicted 2:1. Cambridge Econometrics' E3ME model, used to assess the trade-offs of decarbonisation pathways across regions and sectors, is the most ambitious applied econometrics I have seen used in consulting.</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Cambridge Econometrics stands out to me because its graduate training programme places new economists in its Society or Environment teams, where models such as E3ME turn energy and climate policy questions into evidence for clients. My dissertation's event studies and difference-in-differences, and my CAPM study, have given me practical experience of building, testing and explaining econometric models, and I would like to develop those skills on energy and environment projects.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