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Maven Securities</w:t>
      </w:r>
    </w:p>
    <w:p>
      <w:pPr>
        <w:spacing w:after="0"/>
      </w:pPr>
      <w:r>
        <w:rPr>
          <w:b w:val="0"/>
        </w:rPr>
        <w:t>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2027 in Amsterdam. I am a final-year Economics student at the University of Strathclyde, graduating in summer 2027 with a predicted 2:1. Maven's options market making, where it is consistently ranked among the top three liquidity providers on the exchanges it trades, is the business I want to learn.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Maven Securities stands out to me because it combines the reach of a top-three liquidity provider in listed options and futures with a size where a graduate's contribution is visible, and its programme begins with eleven weeks of structured training in London. Building my Monte Carlo pricer gave me a first-hand feel for how option values respond to volatility, and I would like to turn that understanding into quoting real markets.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