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Mako</w:t>
      </w:r>
    </w:p>
    <w:p>
      <w:pPr>
        <w:spacing w:after="0"/>
      </w:pPr>
      <w:r>
        <w:rPr>
          <w:b w:val="0"/>
        </w:rPr>
        <w:t>London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Programme in London. I am a final-year Economics student at the University of Strathclyde, graduating in summer 2027 with a predicted 2:1. Mako's options market making across fixed income, equity and commodity derivatives, which it has run since 1999, is the business I want to learn from the ground up.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Mako stands out to me because its eighteen-month graduate programme builds option theory, risk processes and live market-making experience step by step, at a firm small enough that a graduate's progress is visible. My Monte Carlo engine taught me how option values respond to volatility and to the path a price takes, and I would like to turn that understanding into quoting real markets within Mako's risk framework.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