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家国同构名分继承与互惠的文化语法"/>
    <w:p>
      <w:pPr>
        <w:pStyle w:val="Heading1"/>
      </w:pPr>
      <w:r>
        <w:t xml:space="preserve">家国同构：名分、继承与互惠的文化语法</w:t>
      </w:r>
    </w:p>
    <w:p>
      <w:pPr>
        <w:pStyle w:val="FirstParagraph"/>
      </w:pPr>
      <w:r>
        <w:rPr>
          <w:bCs/>
          <w:b/>
        </w:rPr>
        <w:t xml:space="preserve">The Family-State Isomorphism: Status, Succession, and the Cultural Grammar of Reciprocity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明朝的权力逻辑，深植于一套家国同构的文化语法：皇帝既是政治主权，也是”天下之父”；官僚是”父母官”；臣对君的”忠”与子对父的”孝”共用同一套伦理代码。费孝通（Fei, 1992）的”差序格局”是破解这套语法的钥匙——每个人以自己为中心、按亲疏远近推出去的同心圆，既解释了宗族，也解释了朝廷。数据印证这套语法：2324 条关系中亲属关系 185 条排第三；度中心性前二十名里皇室独占八席（朱棣 113、朱元璋 87、朱由检 67、朱厚熜 58、朱祁镇 56、朱翊钧 52、朱祁钰 48、朱允炆 40）——血缘与皇权互为表里的双重枢纽，一望即知。</w:t>
      </w:r>
    </w:p>
    <w:p>
      <w:pPr>
        <w:pStyle w:val="BodyText"/>
      </w:pPr>
      <w:r>
        <w:t xml:space="preserve">本文从人类学视角，围绕「家国同构：名分、继承与互惠的文化语法」这一命题，依次探讨：一、继承危机：名分不是事实，而是关系、二、礼物的流动：从人情到贿赂的连续统、三、殉葬：互惠逻辑的最黑暗终点，与一次伦理的例外、四、仪式的深渊：为什么礼崩一定乐坏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家国同构：名分、继承与互惠的文化语法</w:t>
      </w:r>
      <w:r>
        <w:t xml:space="preserve">”</w:t>
      </w:r>
      <w:r>
        <w:t xml:space="preserve"> </w:t>
      </w:r>
      <w:r>
        <w:t xml:space="preserve">from the standpoint of Anthropology,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家国同构；名分；继承；互惠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family-state isomorphism; status; succession; reciprocity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家国同构是中国政治文化的深层语法；名分、继承与互惠在书中反复显现。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本文即从人类学（Anthropology）的视角，重新审视这部文本中关于「家国同构：名分、继承与互惠的文化语法」的论述，并以知识图谱提供的量化证据对其加以检验。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本文以人类学的理论透镜解读上述结构化数据：将书中的叙事命题转化为可检验的量化陈述，并以事件类别分布、关系网络度中心性等指标作为证据。所有数字均直接来自知识图谱。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明朝的权力逻辑，深植于一套</w:t>
      </w:r>
      <w:r>
        <w:rPr>
          <w:bCs/>
          <w:b/>
        </w:rPr>
        <w:t xml:space="preserve">家国同构</w:t>
      </w:r>
      <w:r>
        <w:t xml:space="preserve">的文化语法：皇帝既是政治主权，也是”天下之父”；官僚是”父母官”；臣对君的”忠”与子对父的”孝”共用同一套伦理代码。费孝通（Fei, 1992）的”差序格局”是破解这套语法的钥匙——每个人以自己为中心、按亲疏远近推出去的同心圆，既解释了宗族，也解释了朝廷。数据印证这套语法：2324 条关系中亲属关系 185 条排第三；度中心性前二十名里皇室独占八席（朱棣 113、朱元璋 87、朱由检 67、朱厚熜 58、朱祁镇 56、朱翊钧 52、朱祁钰 48、朱允炆 40）——</w:t>
      </w:r>
      <w:r>
        <w:rPr>
          <w:bCs/>
          <w:b/>
        </w:rPr>
        <w:t xml:space="preserve">血缘与皇权互为表里的双重枢纽</w:t>
      </w:r>
      <w:r>
        <w:t xml:space="preserve">，一望即知。</w:t>
      </w:r>
    </w:p>
    <w:bookmarkStart w:id="25" w:name="一继承危机名分不是事实而是关系"/>
    <w:p>
      <w:pPr>
        <w:pStyle w:val="Heading3"/>
      </w:pPr>
      <w:r>
        <w:t xml:space="preserve">一、继承危机：名分不是事实，而是关系</w:t>
      </w:r>
    </w:p>
    <w:p>
      <w:pPr>
        <w:pStyle w:val="FirstParagraph"/>
      </w:pPr>
      <w:r>
        <w:t xml:space="preserve">朱元璋立皇孙朱允炆而非功高的朱棣，看似违背”立长”惯性与实力逻辑，却是”名分”对”实力”的裁决；朱棣靖难成功后，第一要务不是封赏，而是反复修订《太祖实录》、篡改生母记载——</w:t>
      </w:r>
      <w:r>
        <w:rPr>
          <w:bCs/>
          <w:b/>
        </w:rPr>
        <w:t xml:space="preserve">枪可以夺天下，但天下必须用名分来”合法地”拥有</w:t>
      </w:r>
      <w:r>
        <w:t xml:space="preserve">。萨林斯（Sahlins, 1972）论及，地位（status）从来不是自然事实，而是关系性存在：它存在于他人的承认之中。明朝每一次继承争议——靖难、夺门、大礼议、国本之争——本质上都是一场”谁有资格进入差序格局中心”的文化仲裁。书中道衍（姚广孝）在朱棣还是燕王时就看出”大王骨相非常”，择主而事，正是这位黑衣宰相读懂了仲裁的胜负手：名分可以被重新制造，只要实力肯为它背书。</w:t>
      </w:r>
    </w:p>
    <w:bookmarkEnd w:id="25"/>
    <w:bookmarkStart w:id="26" w:name="二礼物的流动从人情到贿赂的连续统"/>
    <w:p>
      <w:pPr>
        <w:pStyle w:val="Heading3"/>
      </w:pPr>
      <w:r>
        <w:t xml:space="preserve">二、礼物的流动：从人情到贿赂的连续统</w:t>
      </w:r>
    </w:p>
    <w:p>
      <w:pPr>
        <w:pStyle w:val="FirstParagraph"/>
      </w:pPr>
      <w:r>
        <w:t xml:space="preserve">书中宦官专权离不开”人情、馈赠”：刘瑾的家产、严世蕃的贿路、魏忠贤的生祠供奉，构成一条清晰的送礼—收礼—庇护链条。阎云翔（Yan, 1996）的《礼物的流动》揭示，在等级社会中，馈赠从来不是无私的，而是</w:t>
      </w:r>
      <w:r>
        <w:rPr>
          <w:bCs/>
          <w:b/>
        </w:rPr>
        <w:t xml:space="preserve">关系生产与义务绑定的技术</w:t>
      </w:r>
      <w:r>
        <w:t xml:space="preserve">——送礼在差序格局里同时是情感表达与权力投资。明代把这门技术推到了制度化边缘：门生拜座主有”贽见礼”、地方官朝觐有”常例”、官员考成有人情。贿赂与馈赠之间没有清晰的界线，只有互惠义务的强弱之分——这正是人类学说的”礼物—商品连续统”。弗里德曼（Freedman, 1966）对中国宗族的研究解释了这套技术为何如此高效：</w:t>
      </w:r>
      <w:r>
        <w:rPr>
          <w:bCs/>
          <w:b/>
        </w:rPr>
        <w:t xml:space="preserve">“</w:t>
      </w:r>
      <w:r>
        <w:rPr>
          <w:bCs/>
          <w:b/>
        </w:rPr>
        <w:t xml:space="preserve">家</w:t>
      </w:r>
      <w:r>
        <w:rPr>
          <w:bCs/>
          <w:b/>
        </w:rPr>
        <w:t xml:space="preserve">”</w:t>
      </w:r>
      <w:r>
        <w:rPr>
          <w:bCs/>
          <w:b/>
        </w:rPr>
        <w:t xml:space="preserve">的伦理可以无缝扩张为”国”的治理术</w:t>
      </w:r>
      <w:r>
        <w:t xml:space="preserve">，因为它们共用同一套文化代码。</w:t>
      </w:r>
    </w:p>
    <w:bookmarkEnd w:id="26"/>
    <w:bookmarkStart w:id="27" w:name="三殉葬互惠逻辑的最黑暗终点与一次伦理的例外"/>
    <w:p>
      <w:pPr>
        <w:pStyle w:val="Heading3"/>
      </w:pPr>
      <w:r>
        <w:t xml:space="preserve">三、殉葬：互惠逻辑的最黑暗终点，与一次伦理的例外</w:t>
      </w:r>
    </w:p>
    <w:p>
      <w:pPr>
        <w:pStyle w:val="FirstParagraph"/>
      </w:pPr>
      <w:r>
        <w:t xml:space="preserve">书中最安静也最惊悚的一段制度描述，是天顺八年朱祁镇的临终遗言：</w:t>
      </w:r>
      <w:r>
        <w:t xml:space="preserve">“</w:t>
      </w:r>
      <w:r>
        <w:t xml:space="preserve">自高皇帝以来，但逢帝崩，总要后宫多人殉葬，我不忍心这样做，我死后不要殉葬，你要记住，今后也不能再有这样的事情！</w:t>
      </w:r>
      <w:r>
        <w:t xml:space="preserve">”</w:t>
      </w:r>
      <w:r>
        <w:t xml:space="preserve">自朱元璋起，历朝皇帝驾崩，后宫妃嫔都要被勒令自尽随葬——用萨林斯（Sahlins, 1972）的分析看，这是互惠逻辑的极端异化：君臣、夫妻的名分被理解为跨越死亡的持续义务，人被当作带往另一个世界的”随葬礼物”；而在差序格局（Fei, 1992）的语法里，她们甚至不是独立的送礼者，只是皇帝名分的附属物。真正值得人类学驻足的，是废除的方式：</w:t>
      </w:r>
      <w:r>
        <w:rPr>
          <w:bCs/>
          <w:b/>
        </w:rPr>
        <w:t xml:space="preserve">不是起义，不是革命，而是一句”我不忍心”</w:t>
      </w:r>
      <w:r>
        <w:t xml:space="preserve">——一个亲身经历过被俘与囚禁的皇帝，把对人的体认带进了制度。格尔茨（Geertz, 1973）说文化是意义之网，这一刻网眼松动了：当”名分”的执行者第一次把自己代入对方的位置，一套运行了近百年的制度就失去了意义支撑。这是全书罕见的一次，制度被人而非人被制度改变。</w:t>
      </w:r>
    </w:p>
    <w:bookmarkEnd w:id="27"/>
    <w:bookmarkStart w:id="28" w:name="四仪式的深渊为什么礼崩一定乐坏"/>
    <w:p>
      <w:pPr>
        <w:pStyle w:val="Heading3"/>
      </w:pPr>
      <w:r>
        <w:t xml:space="preserve">四、仪式的深渊：为什么礼崩一定乐坏</w:t>
      </w:r>
    </w:p>
    <w:p>
      <w:pPr>
        <w:pStyle w:val="FirstParagraph"/>
      </w:pPr>
      <w:r>
        <w:t xml:space="preserve">格尔茨（Geertz, 1973）把文化看作”意义之网”，而明代的意义之网是靠仪式编织的：登极、亲耕、经筵、郊祀，每一场仪式都在重演”天命—血缘—秩序”的等式。万历为立储与群臣对峙三十年，争的不是朱常洛的资质，而是”礼”的解释权；嘉靖的大礼议争了十七年，争的也不是名号，而是整个官僚系统对”名分从何而来”的根本共识。一旦仪式被绕过（皇权直接以厂卫行事）、被交易（生祠与贿选），意义之网就开始破洞——人类学的结论是：</w:t>
      </w:r>
      <w:r>
        <w:rPr>
          <w:bCs/>
          <w:b/>
        </w:rPr>
        <w:t xml:space="preserve">礼崩乐坏从来先于城破国亡</w:t>
      </w:r>
      <w:r>
        <w:t xml:space="preserve">，因为前者是意义系统的死亡，后者只是它的讣告。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人类学的视角看，家国同构是中国政治文化的深层语法；名分、继承与互惠在书中反复显现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人类学为透镜，借由明史知识图谱的量化骨架，重新审视了《明朝那些事儿》关于「家国同构：名分、继承与互惠的文化语法」的论述。分析表明，家国同构是中国政治文化的深层语法；名分、继承与互惠在书中反复显现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Freedman, M. (1966).</w:t>
      </w:r>
      <w:r>
        <w:t xml:space="preserve"> </w:t>
      </w:r>
      <w:r>
        <w:rPr>
          <w:iCs/>
          <w:i/>
        </w:rPr>
        <w:t xml:space="preserve">Chinese lineage and society: Fukien and Kwangtung</w:t>
      </w:r>
      <w:r>
        <w:t xml:space="preserve">. Athlone Press.</w:t>
      </w:r>
    </w:p>
    <w:p>
      <w:pPr>
        <w:numPr>
          <w:ilvl w:val="0"/>
          <w:numId w:val="1002"/>
        </w:numPr>
        <w:pStyle w:val="Compact"/>
      </w:pPr>
      <w:r>
        <w:t xml:space="preserve">Geertz, C. (1973).</w:t>
      </w:r>
      <w:r>
        <w:t xml:space="preserve"> </w:t>
      </w:r>
      <w:r>
        <w:rPr>
          <w:iCs/>
          <w:i/>
        </w:rPr>
        <w:t xml:space="preserve">The interpretation of cultures</w:t>
      </w:r>
      <w:r>
        <w:t xml:space="preserve">. Basic Books.</w:t>
      </w:r>
    </w:p>
    <w:p>
      <w:pPr>
        <w:numPr>
          <w:ilvl w:val="0"/>
          <w:numId w:val="1002"/>
        </w:numPr>
        <w:pStyle w:val="Compact"/>
      </w:pPr>
      <w:r>
        <w:t xml:space="preserve">Sahlins, M. (1972).</w:t>
      </w:r>
      <w:r>
        <w:t xml:space="preserve"> </w:t>
      </w:r>
      <w:r>
        <w:rPr>
          <w:iCs/>
          <w:i/>
        </w:rPr>
        <w:t xml:space="preserve">Stone age economics</w:t>
      </w:r>
      <w:r>
        <w:t xml:space="preserve">. Aldine.</w:t>
      </w:r>
    </w:p>
    <w:p>
      <w:pPr>
        <w:numPr>
          <w:ilvl w:val="0"/>
          <w:numId w:val="1002"/>
        </w:numPr>
        <w:pStyle w:val="Compact"/>
      </w:pPr>
      <w:r>
        <w:t xml:space="preserve">Lin, N. (2001).</w:t>
      </w:r>
      <w:r>
        <w:t xml:space="preserve"> </w:t>
      </w:r>
      <w:r>
        <w:rPr>
          <w:iCs/>
          <w:i/>
        </w:rPr>
        <w:t xml:space="preserve">Social Capital: A Theory of Social Structure and Action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Fei, X. (1992).</w:t>
      </w:r>
      <w:r>
        <w:t xml:space="preserve"> </w:t>
      </w:r>
      <w:r>
        <w:rPr>
          <w:iCs/>
          <w:i/>
        </w:rPr>
        <w:t xml:space="preserve">From the Soil: The Foundations of Chinese Society</w:t>
      </w:r>
      <w:r>
        <w:t xml:space="preserve"> </w:t>
      </w:r>
      <w:r>
        <w:t xml:space="preserve">(G. G. Hamilton &amp; W. Zheng, Trans.).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Yan, Y. (1996).</w:t>
      </w:r>
      <w:r>
        <w:t xml:space="preserve"> </w:t>
      </w:r>
      <w:r>
        <w:rPr>
          <w:iCs/>
          <w:i/>
        </w:rPr>
        <w:t xml:space="preserve">The Flow of Gifts: Reciprocity and Social Networks in a Chinese Village</w:t>
      </w:r>
      <w:r>
        <w:t xml:space="preserve">. Stanford University Press.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2026-10-01T06:51:21Z</dcterms:created>
  <dcterms:modified xsi:type="dcterms:W3CDTF">2026-10-01T06:51:21Z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