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天下秩序的账本朝贡封贡与战争"/>
    <w:p>
      <w:pPr>
        <w:pStyle w:val="Heading1"/>
      </w:pPr>
      <w:r>
        <w:t xml:space="preserve">天下秩序的账本：朝贡、封贡与战争</w:t>
      </w:r>
    </w:p>
    <w:p>
      <w:pPr>
        <w:pStyle w:val="FirstParagraph"/>
      </w:pPr>
      <w:r>
        <w:rPr>
          <w:bCs/>
          <w:b/>
        </w:rPr>
        <w:t xml:space="preserve">The Ledger of the Tianxia Order: Tribute, Vassalage, and War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明朝没有现代意义上的外交部，却运行着一套运转两百年的国际秩序——以中国为中心的朝贡体系。费正清（Fairbank, 1968）主编的《中国的世界秩序》是理解它的经典框架：这不是条约网络，而是一套以名分换秩序的礼仪—贸易复合体。数据里它有清晰的存在感：外交边务事件 52 件、郑和航线上的朝贡节点、俺答与朝鲜的高频出现，勾勒出明朝对外关系的三种结算方式——朝贡、封贡与战争。</w:t>
      </w:r>
    </w:p>
    <w:p>
      <w:pPr>
        <w:pStyle w:val="BodyText"/>
      </w:pPr>
      <w:r>
        <w:t xml:space="preserve">本文从国际关系视角，围绕「天下秩序的账本：朝贡、封贡与战争」这一命题，依次探讨：一、朝贡的经济学：面子里子一起算、二、俺答封贡：用名分和市场替代军费、三、朝鲜之役：天下秩序的武力保卫战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天下秩序的账本：朝贡、封贡与战争</w:t>
      </w:r>
      <w:r>
        <w:t xml:space="preserve">”</w:t>
      </w:r>
      <w:r>
        <w:t xml:space="preserve"> </w:t>
      </w:r>
      <w:r>
        <w:t xml:space="preserve">from the standpoint of International Relations,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朝贡体系；封贡；天下秩序；对外关系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tribute system; vassalage; tianxia order; foreign relations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朝贡、封贡与战争，构成了’天下秩序’的账本；本书提供了可计算的对外关系记录。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本文即从国际关系（International Relations）的视角，重新审视这部文本中关于「天下秩序的账本：朝贡、封贡与战争」的论述，并以知识图谱提供的量化证据对其加以检验。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本文以国际关系的理论透镜解读上述结构化数据：将书中的叙事命题转化为可检验的量化陈述，并以事件类别分布、关系网络度中心性等指标作为证据。所有数字均直接来自知识图谱。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28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明朝没有现代意义上的外交部，却运行着一套运转两百年的国际秩序——以中国为中心的朝贡体系。费正清（Fairbank, 1968）主编的《中国的世界秩序》是理解它的经典框架：这不是条约网络，而是一套</w:t>
      </w:r>
      <w:r>
        <w:rPr>
          <w:bCs/>
          <w:b/>
        </w:rPr>
        <w:t xml:space="preserve">以名分换秩序的礼仪—贸易复合体</w:t>
      </w:r>
      <w:r>
        <w:t xml:space="preserve">。数据里它有清晰的存在感：外交边务事件 52 件、郑和航线上的朝贡节点、俺答与朝鲜的高频出现，勾勒出明朝对外关系的三种结算方式——朝贡、封贡与战争。</w:t>
      </w:r>
    </w:p>
    <w:bookmarkStart w:id="25" w:name="一朝贡的经济学面子里子一起算"/>
    <w:p>
      <w:pPr>
        <w:pStyle w:val="Heading3"/>
      </w:pPr>
      <w:r>
        <w:t xml:space="preserve">一、朝贡的经济学：面子里子一起算</w:t>
      </w:r>
    </w:p>
    <w:p>
      <w:pPr>
        <w:pStyle w:val="FirstParagraph"/>
      </w:pPr>
      <w:r>
        <w:t xml:space="preserve">书中写郑和下西洋的后半程，笔锋从航海转向制度：</w:t>
      </w:r>
      <w:r>
        <w:t xml:space="preserve">“</w:t>
      </w:r>
      <w:r>
        <w:t xml:space="preserve">这些国家也纷纷派出使者，跟随郑和船队航行，准备去中国向永乐皇帝朝贡。</w:t>
      </w:r>
      <w:r>
        <w:t xml:space="preserve">”</w:t>
      </w:r>
      <w:r>
        <w:t xml:space="preserve">在费正清（Fairbank, 1968）的框架里，这段描述透露了朝贡体系的运行本质：外国君主向中国皇帝奉表称臣、进贡方物，中国回赐的价值通常高于贡品，并附赠贸易特权——</w:t>
      </w:r>
      <w:r>
        <w:rPr>
          <w:bCs/>
          <w:b/>
        </w:rPr>
        <w:t xml:space="preserve">用可计算的财政成本，购买”万国来朝”的政治收益</w:t>
      </w:r>
      <w:r>
        <w:t xml:space="preserve">。永乐朝对此乐此不疲，宝船既是外交使团又是贸易船队；而到了财政吃紧的世代，同一套体系立刻被重新核算——下西洋在宣德之后再无续篇，不是海船造不出来，是账算不过来了。国际关系学的冷峻在此：意识形态是常数，成本收益才是变量。</w:t>
      </w:r>
    </w:p>
    <w:bookmarkEnd w:id="25"/>
    <w:bookmarkStart w:id="26" w:name="二俺答封贡用名分和市场替代军费"/>
    <w:p>
      <w:pPr>
        <w:pStyle w:val="Heading3"/>
      </w:pPr>
      <w:r>
        <w:t xml:space="preserve">二、俺答封贡：用名分和市场替代军费</w:t>
      </w:r>
    </w:p>
    <w:p>
      <w:pPr>
        <w:pStyle w:val="FirstParagraph"/>
      </w:pPr>
      <w:r>
        <w:t xml:space="preserve">嘉靖二十九年（1550），</w:t>
      </w:r>
      <w:r>
        <w:t xml:space="preserve">“</w:t>
      </w:r>
      <w:r>
        <w:t xml:space="preserve">很能杀，很能抢</w:t>
      </w:r>
      <w:r>
        <w:t xml:space="preserve">”</w:t>
      </w:r>
      <w:r>
        <w:t xml:space="preserve">的俺答一路打到北京城下——庚戌之变是明朝边防的奇耻大辱，也把一个现实问题摆上桌面：与草原的关系究竟该怎么结算？答案在隆庆年间揭晓：王崇古、高拱、张居正促成”俺答封贡”，封俺答为顺义王、开放互市，此后近半个世纪，明蒙之间大规模战争基本停摆。费正清（Fairbank, 1968）框架下的”册封—朝贡”机制在此显出它的灵活性：</w:t>
      </w:r>
      <w:r>
        <w:rPr>
          <w:bCs/>
          <w:b/>
        </w:rPr>
        <w:t xml:space="preserve">明廷用名分（王号）与市场（互市）替代军费</w:t>
      </w:r>
      <w:r>
        <w:t xml:space="preserve">，以远低于边防开支的成本，把最凶悍的敌人变成秩序内的受益者。书中写隆庆朝”没有皇权制约的名臣时代”办成的几件大事，封贡是含金量最高的一件——国际关系学的教训是：能算清账的和平，好过打不清账的战争。</w:t>
      </w:r>
    </w:p>
    <w:bookmarkEnd w:id="26"/>
    <w:bookmarkStart w:id="27" w:name="三朝鲜之役天下秩序的武力保卫战"/>
    <w:p>
      <w:pPr>
        <w:pStyle w:val="Heading3"/>
      </w:pPr>
      <w:r>
        <w:t xml:space="preserve">三、朝鲜之役：天下秩序的武力保卫战</w:t>
      </w:r>
    </w:p>
    <w:p>
      <w:pPr>
        <w:pStyle w:val="FirstParagraph"/>
      </w:pPr>
      <w:r>
        <w:t xml:space="preserve">朝贡体系的账本也有必须动用武力的一页。万历二十年（1592），丰臣秀吉十四万大军侵朝，朝鲜国王一路北逃求援；明廷争议数月后出兵，七年之间两度大规模用兵，最终与朝鲜合力将日军逐回，露梁海战中邓子龙与李舜臣双双殉国。这场战争并非孤例——它与宁夏平哱拜、播州平杨应龙并称万历三大征，天下秩序的武力结算在同一位皇帝任上被反复启用。斯沃普（Swope, 2009）对这场”第一次大东亚战争”的研究指出，明廷出兵的决策逻辑正是天下秩序的自我维护：</w:t>
      </w:r>
      <w:r>
        <w:rPr>
          <w:bCs/>
          <w:b/>
        </w:rPr>
        <w:t xml:space="preserve">朝鲜是最忠实的朝贡国，宗主国的义务与帝国的威望绑在同一份账本上</w:t>
      </w:r>
      <w:r>
        <w:t xml:space="preserve">。代价极其昂贵——七年用兵耗银上千万两，抽干了张居正时代攒下的家底，辽东精锐的损耗为努尔哈赤的崛起腾出了空间。国际关系学的总账因此要两面记：朝贡体系给了明朝秩序与荣耀，也规定了它必须为秩序支付的、有时是倾国倾城的成本。</w:t>
      </w:r>
    </w:p>
    <w:bookmarkEnd w:id="27"/>
    <w:bookmarkEnd w:id="28"/>
    <w:bookmarkStart w:id="29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国际关系的视角看，朝贡、封贡与战争，构成了’天下秩序’的账本；本书提供了可计算的对外关系记录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29"/>
    <w:bookmarkStart w:id="30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国际关系为透镜，借由明史知识图谱的量化骨架，重新审视了《明朝那些事儿》关于「天下秩序的账本：朝贡、封贡与战争」的论述。分析表明，朝贡、封贡与战争，构成了’天下秩序’的账本；本书提供了可计算的对外关系记录。这提示我们：通俗历史叙事与计算人文并非对立，而是可以相互校勘的两类证据——前者提供可被感知的经验，后者提供可被检验的结构。</w:t>
      </w:r>
    </w:p>
    <w:bookmarkEnd w:id="30"/>
    <w:bookmarkStart w:id="31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Fairbank, J. K. (Ed.). (1968).</w:t>
      </w:r>
      <w:r>
        <w:t xml:space="preserve"> </w:t>
      </w:r>
      <w:r>
        <w:rPr>
          <w:iCs/>
          <w:i/>
        </w:rPr>
        <w:t xml:space="preserve">The Chinese world order: Traditional China’s foreign relations</w:t>
      </w:r>
      <w:r>
        <w:t xml:space="preserve">. Harvard University Press.</w:t>
      </w:r>
    </w:p>
    <w:p>
      <w:pPr>
        <w:numPr>
          <w:ilvl w:val="0"/>
          <w:numId w:val="1002"/>
        </w:numPr>
        <w:pStyle w:val="Compact"/>
      </w:pPr>
      <w:r>
        <w:t xml:space="preserve">Swope, K. M. (2009).</w:t>
      </w:r>
      <w:r>
        <w:t xml:space="preserve"> </w:t>
      </w:r>
      <w:r>
        <w:rPr>
          <w:iCs/>
          <w:i/>
        </w:rPr>
        <w:t xml:space="preserve">A dragon’s head and a serpent’s tail: Ming China and the first great East Asian war, 1592–1598</w:t>
      </w:r>
      <w:r>
        <w:t xml:space="preserve">. University of Oklahoma Press.</w:t>
      </w:r>
    </w:p>
    <w:p>
      <w:pPr>
        <w:numPr>
          <w:ilvl w:val="0"/>
          <w:numId w:val="1002"/>
        </w:numPr>
        <w:pStyle w:val="Compact"/>
      </w:pPr>
      <w:r>
        <w:t xml:space="preserve">Swope, K. M. (2014).</w:t>
      </w:r>
      <w:r>
        <w:t xml:space="preserve"> </w:t>
      </w:r>
      <w:r>
        <w:rPr>
          <w:iCs/>
          <w:i/>
        </w:rPr>
        <w:t xml:space="preserve">The Military Collapse of China’s Ming Dynasty, 1618–44</w:t>
      </w:r>
      <w:r>
        <w:t xml:space="preserve">. Routledge.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2026-10-01T06:51:36Z</dcterms:created>
  <dcterms:modified xsi:type="dcterms:W3CDTF">2026-10-01T06:51:36Z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