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白银的锁链赋税货币与财政崩溃"/>
    <w:p>
      <w:pPr>
        <w:pStyle w:val="Heading1"/>
      </w:pPr>
      <w:r>
        <w:t xml:space="preserve">白银的锁链：赋税、货币与财政崩溃</w:t>
      </w:r>
    </w:p>
    <w:p>
      <w:pPr>
        <w:pStyle w:val="FirstParagraph"/>
      </w:pPr>
      <w:r>
        <w:rPr>
          <w:bCs/>
          <w:b/>
        </w:rPr>
        <w:t xml:space="preserve">The Silver Chain: Taxation, Money, and Fiscal Collapse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明朝的兴衰，底层是一条财政曲线。数据中的经济信号不多，却条条致命：事件库里最醒目的是 1581 年”张居正推行一条鞭法（实物税改货币税）</w:t>
      </w:r>
      <w:r>
        <w:t xml:space="preserve">“</w:t>
      </w:r>
      <w:r>
        <w:t xml:space="preserve">，1571 年</w:t>
      </w:r>
      <w:r>
        <w:t xml:space="preserve">”</w:t>
      </w:r>
      <w:r>
        <w:t xml:space="preserve">高拱疑张居正收徐阶三万两白银”，1583 年”万历免征山东山西湖广灾区赋税”。制度重构、腐败馈赠、赈灾豁免——三种经济行为，三个朝代侧面，都通向同一个终点：1644 年，国库空到发不出军饷。</w:t>
      </w:r>
    </w:p>
    <w:p>
      <w:pPr>
        <w:pStyle w:val="BodyText"/>
      </w:pPr>
      <w:r>
        <w:t xml:space="preserve">本文从经济学视角，围绕「白银的锁链：赋税、货币与财政崩溃」这一命题，依次探讨：一、一条鞭法的双刃：可见性提升，路径锁死、二、繁荣的悖论：商业化救不了财政、三、矿税：没有税制的法外财政、四、三饷与正反馈：压垮明朝的先是财政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白银的锁链：赋税、货币与财政崩溃</w:t>
      </w:r>
      <w:r>
        <w:t xml:space="preserve">”</w:t>
      </w:r>
      <w:r>
        <w:t xml:space="preserve"> </w:t>
      </w:r>
      <w:r>
        <w:t xml:space="preserve">from the standpoint of Economics,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白银流入；赋税货币化；财政崩溃；价格革命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silver inflow; tax monetization; fiscal collapse; price revolution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白银流入与赋税货币化如何把财政链条拉到断裂，是经济史的经典议题。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本文即从经济学（Economics）的视角，重新审视这部文本中关于「白银的锁链：赋税、货币与财政崩溃」的论述，并以知识图谱提供的量化证据对其加以检验。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本文以经济学的理论透镜解读上述结构化数据：将书中的叙事命题转化为可检验的量化陈述，并以事件类别分布、关系网络度中心性等指标作为证据。所有数字均直接来自知识图谱。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9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明朝的兴衰，底层是一条</w:t>
      </w:r>
      <w:r>
        <w:rPr>
          <w:bCs/>
          <w:b/>
        </w:rPr>
        <w:t xml:space="preserve">财政曲线</w:t>
      </w:r>
      <w:r>
        <w:t xml:space="preserve">。数据中的经济信号不多，却条条致命：事件库里最醒目的是 1581 年”张居正推行一条鞭法（实物税改货币税）</w:t>
      </w:r>
      <w:r>
        <w:t xml:space="preserve">“</w:t>
      </w:r>
      <w:r>
        <w:t xml:space="preserve">，1571 年</w:t>
      </w:r>
      <w:r>
        <w:t xml:space="preserve">”</w:t>
      </w:r>
      <w:r>
        <w:t xml:space="preserve">高拱疑张居正收徐阶三万两白银”，1583 年”万历免征山东山西湖广灾区赋税”。制度重构、腐败馈赠、赈灾豁免——三种经济行为，三个朝代侧面，都通向同一个终点：1644 年，国库空到发不出军饷。</w:t>
      </w:r>
    </w:p>
    <w:bookmarkStart w:id="25" w:name="一一条鞭法的双刃可见性提升路径锁死"/>
    <w:p>
      <w:pPr>
        <w:pStyle w:val="Heading3"/>
      </w:pPr>
      <w:r>
        <w:t xml:space="preserve">一、一条鞭法的双刃：可见性提升，路径锁死</w:t>
      </w:r>
    </w:p>
    <w:p>
      <w:pPr>
        <w:pStyle w:val="FirstParagraph"/>
      </w:pPr>
      <w:r>
        <w:t xml:space="preserve">书中称一条鞭法”改变自唐朝以来八百余年的税制”，这个定位是准确的。黄仁宇（Huang, 1974）的定量研究表明，一条鞭法把徭役折银、摊入田亩，短期效果是显著的：赋役合并、征收透明、中央财政的可见性大幅提升。但它同时完成了一次</w:t>
      </w:r>
      <w:r>
        <w:rPr>
          <w:bCs/>
          <w:b/>
        </w:rPr>
        <w:t xml:space="preserve">致命的路径锁定</w:t>
      </w:r>
      <w:r>
        <w:t xml:space="preserve">——帝国税收从此以白银计价。冯·格拉恩（von Glahn, 1996）的货币史显示，明中后期白银货币化使中国通货与全球市场绑定：日本与美洲银矿的产出波动，从此成为明朝的内政变量。阿特韦尔（Atwell, 1982）对 1530–1650 年国际白银流动的经典研究把这个判断钉死在年表上：明末白银输入的骤减，与物价紊乱、军费拖欠在时间上高度吻合——帝国的”货币政策”不在自己手里。</w:t>
      </w:r>
      <w:r>
        <w:rPr>
          <w:bCs/>
          <w:b/>
        </w:rPr>
        <w:t xml:space="preserve">一个不能发行自己货币主权的帝国，等于把财政命脉抵押给了太平洋贸易</w:t>
      </w:r>
      <w:r>
        <w:t xml:space="preserve">。张居正去世前，白银流入正盛，一条鞭法运转良好；他去世后半个世纪，美洲白银供应收紧、日本锁国减运，锁链开始收紧。</w:t>
      </w:r>
    </w:p>
    <w:bookmarkEnd w:id="25"/>
    <w:bookmarkStart w:id="26" w:name="二繁荣的悖论商业化救不了财政"/>
    <w:p>
      <w:pPr>
        <w:pStyle w:val="Heading3"/>
      </w:pPr>
      <w:r>
        <w:t xml:space="preserve">二、繁荣的悖论：商业化救不了财政</w:t>
      </w:r>
    </w:p>
    <w:p>
      <w:pPr>
        <w:pStyle w:val="FirstParagraph"/>
      </w:pPr>
      <w:r>
        <w:t xml:space="preserve">十六世纪的明朝远比想象中商业繁荣：布鲁克（Brook, 1998）描绘了晚明纵乐的消费文化——棉布、瓷器、书坊、妓馆、宗族义田，江南的商业网络密度空前。但商业繁荣与国家财政是两回事：明朝的商业税体系停留在祖制设定的极低水平（钞关税、盐课为主的间接税占比微小），商税增长远远跟不上商业增长。庞默兰兹（Pomeranz, 2000）的”大分流”框架与罗森塔尔、王国斌（Rosenthal &amp; Wong, 2011）的比较政治经济学共同指出：明清国家选择”轻商税、重田赋”的汲取结构，是政治逻辑（安稳优先于增长）压倒经济逻辑的结果。</w:t>
      </w:r>
      <w:r>
        <w:rPr>
          <w:bCs/>
          <w:b/>
        </w:rPr>
        <w:t xml:space="preserve">财富在民间积累，风险在国家财政聚集</w:t>
      </w:r>
      <w:r>
        <w:t xml:space="preserve">——这是明代经济最深的结构性矛盾。</w:t>
      </w:r>
    </w:p>
    <w:bookmarkEnd w:id="26"/>
    <w:bookmarkStart w:id="27" w:name="三矿税没有税制的法外财政"/>
    <w:p>
      <w:pPr>
        <w:pStyle w:val="Heading3"/>
      </w:pPr>
      <w:r>
        <w:t xml:space="preserve">三、矿税：没有税制的法外财政</w:t>
      </w:r>
    </w:p>
    <w:p>
      <w:pPr>
        <w:pStyle w:val="FirstParagraph"/>
      </w:pPr>
      <w:r>
        <w:t xml:space="preserve">万历晚期的”矿监税使”是理解明代财政困境的另一把钥匙。祖制锁死了正税体系（田赋几乎不动、商税微薄），而皇帝又要花钱，于是整套财政退化成了</w:t>
      </w:r>
      <w:r>
        <w:rPr>
          <w:bCs/>
          <w:b/>
        </w:rPr>
        <w:t xml:space="preserve">法外汲取</w:t>
      </w:r>
      <w:r>
        <w:t xml:space="preserve">：亲信太监带着”矿监”</w:t>
      </w:r>
      <w:r>
        <w:t xml:space="preserve">“</w:t>
      </w:r>
      <w:r>
        <w:t xml:space="preserve">税使</w:t>
      </w:r>
      <w:r>
        <w:t xml:space="preserve">”</w:t>
      </w:r>
      <w:r>
        <w:t xml:space="preserve">的头衔扑向全国，名为开矿征税，实为明火执仗——书里写到这些税使祸乱地方、逼反州县，辽东的高淮几乎是独立王国。黄仁宇（Huang, 1974）的财政史研究早已指明：这不是税收，是把国家财政私人化了——收入绕开户部直达内库，成本（民变、行政信用）却由帝国整体承担。诺斯（North, 1990）对”索取性制度”的分析在此完全对位：当产权与税权都缺乏规则保护，理性的地方精英与商人会选择逃避而非投资，税基反而越收越窄。最讽刺的收尾在数据里：泰昌即位数日，做的头几件大事之一就是”废除各地矿税”——</w:t>
      </w:r>
      <w:r>
        <w:rPr>
          <w:bCs/>
          <w:b/>
        </w:rPr>
        <w:t xml:space="preserve">一个帝国的财政改革，最终以清算前任的家奴来实现</w:t>
      </w:r>
      <w:r>
        <w:t xml:space="preserve">；而三饷接踵而来，汲取只会换名目，不会换逻辑。</w:t>
      </w:r>
    </w:p>
    <w:bookmarkEnd w:id="27"/>
    <w:bookmarkStart w:id="28" w:name="四三饷与正反馈压垮明朝的先是财政"/>
    <w:p>
      <w:pPr>
        <w:pStyle w:val="Heading3"/>
      </w:pPr>
      <w:r>
        <w:t xml:space="preserve">四、三饷与正反馈：压垮明朝的先是财政</w:t>
      </w:r>
    </w:p>
    <w:p>
      <w:pPr>
        <w:pStyle w:val="FirstParagraph"/>
      </w:pPr>
      <w:r>
        <w:t xml:space="preserve">王朝末年的三饷（辽饷、剿饷、练饷）加派，与民变形成教科书级的正反馈：加税→农民破产→加入民变（数据中 30 起民变集中于明末）→军费再增→再加税。顾诚（1984）的考实研究显示，明末农民军的主体正是被加派与灾荒联合制造出来的流民。这与黄仁宇（Huang, 1981）对 1587 年的诊断一脉相承：明朝财政的病灶不在收入太少，而在</w:t>
      </w:r>
      <w:r>
        <w:rPr>
          <w:bCs/>
          <w:b/>
        </w:rPr>
        <w:t xml:space="preserve">结构调整的通道已死</w:t>
      </w:r>
      <w:r>
        <w:t xml:space="preserve">——清丈田亩触怒士绅、商税改革违背祖制、铸币权拱手让给白银。压垮明朝的，先是财政，才是刀兵；李自成的农民军只是财政崩溃最后一环的执行者。</w:t>
      </w:r>
    </w:p>
    <w:bookmarkEnd w:id="28"/>
    <w:bookmarkEnd w:id="29"/>
    <w:bookmarkStart w:id="30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经济学的视角看，白银流入与赋税货币化如何把财政链条拉到断裂，是经济史的经典议题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0"/>
    <w:bookmarkStart w:id="31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经济学为透镜，借由明史知识图谱的量化骨架，重新审视了《明朝那些事儿》关于「白银的锁链：赋税、货币与财政崩溃」的论述。分析表明，白银流入与赋税货币化如何把财政链条拉到断裂，是经济史的经典议题。这提示我们：通俗历史叙事与计算人文并非对立，而是可以相互校勘的两类证据——前者提供可被感知的经验，后者提供可被检验的结构。</w:t>
      </w:r>
    </w:p>
    <w:bookmarkEnd w:id="31"/>
    <w:bookmarkStart w:id="32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Huang, R. (1981).</w:t>
      </w:r>
      <w:r>
        <w:t xml:space="preserve"> </w:t>
      </w:r>
      <w:r>
        <w:rPr>
          <w:iCs/>
          <w:i/>
        </w:rPr>
        <w:t xml:space="preserve">1587, A Year of No Significance: The Ming Dynasty in Decline</w:t>
      </w:r>
      <w:r>
        <w:t xml:space="preserve">. Yale University Press.</w:t>
      </w:r>
    </w:p>
    <w:p>
      <w:pPr>
        <w:numPr>
          <w:ilvl w:val="0"/>
          <w:numId w:val="1002"/>
        </w:numPr>
        <w:pStyle w:val="Compact"/>
      </w:pPr>
      <w:r>
        <w:t xml:space="preserve">North, D. C. (1990).</w:t>
      </w:r>
      <w:r>
        <w:t xml:space="preserve"> </w:t>
      </w:r>
      <w:r>
        <w:rPr>
          <w:iCs/>
          <w:i/>
        </w:rPr>
        <w:t xml:space="preserve">Institutions, Institutional Change and Economic Performance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Atwell, W. S. (1982). International bullion flows and the Chinese economy circa 1530–1650.</w:t>
      </w:r>
      <w:r>
        <w:t xml:space="preserve"> </w:t>
      </w:r>
      <w:r>
        <w:rPr>
          <w:iCs/>
          <w:i/>
        </w:rPr>
        <w:t xml:space="preserve">Past &amp; Present, 95</w:t>
      </w:r>
      <w:r>
        <w:t xml:space="preserve">, 68–90.</w:t>
      </w:r>
    </w:p>
    <w:p>
      <w:pPr>
        <w:numPr>
          <w:ilvl w:val="0"/>
          <w:numId w:val="1002"/>
        </w:numPr>
        <w:pStyle w:val="Compact"/>
      </w:pPr>
      <w:r>
        <w:t xml:space="preserve">Huang, R. (1974).</w:t>
      </w:r>
      <w:r>
        <w:t xml:space="preserve"> </w:t>
      </w:r>
      <w:r>
        <w:rPr>
          <w:iCs/>
          <w:i/>
        </w:rPr>
        <w:t xml:space="preserve">Taxation and Governmental Finance in Sixteenth-Century Ming China</w:t>
      </w:r>
      <w:r>
        <w:t xml:space="preserve">. Cambridge University Press.</w:t>
      </w:r>
    </w:p>
    <w:p>
      <w:pPr>
        <w:numPr>
          <w:ilvl w:val="0"/>
          <w:numId w:val="1002"/>
        </w:numPr>
        <w:pStyle w:val="Compact"/>
      </w:pPr>
      <w:r>
        <w:t xml:space="preserve">von Glahn, R. (1996).</w:t>
      </w:r>
      <w:r>
        <w:t xml:space="preserve"> </w:t>
      </w:r>
      <w:r>
        <w:rPr>
          <w:iCs/>
          <w:i/>
        </w:rPr>
        <w:t xml:space="preserve">Fountain of Fortune: Money and Monetary Policy in China, 1000–1700</w:t>
      </w:r>
      <w:r>
        <w:t xml:space="preserve">. University of California Press.</w:t>
      </w:r>
    </w:p>
    <w:p>
      <w:pPr>
        <w:numPr>
          <w:ilvl w:val="0"/>
          <w:numId w:val="1002"/>
        </w:numPr>
        <w:pStyle w:val="Compact"/>
      </w:pPr>
      <w:r>
        <w:t xml:space="preserve">Pomeranz, K. (2000).</w:t>
      </w:r>
      <w:r>
        <w:t xml:space="preserve"> </w:t>
      </w:r>
      <w:r>
        <w:rPr>
          <w:iCs/>
          <w:i/>
        </w:rPr>
        <w:t xml:space="preserve">The Great Divergence: China, Europe, and the Making of the Modern World Economy</w:t>
      </w:r>
      <w:r>
        <w:t xml:space="preserve">. Princeton University Press.</w:t>
      </w:r>
    </w:p>
    <w:p>
      <w:pPr>
        <w:numPr>
          <w:ilvl w:val="0"/>
          <w:numId w:val="1002"/>
        </w:numPr>
        <w:pStyle w:val="Compact"/>
      </w:pPr>
      <w:r>
        <w:t xml:space="preserve">Rosenthal, J.-L., &amp; Wong, R. B. (2011).</w:t>
      </w:r>
      <w:r>
        <w:t xml:space="preserve"> </w:t>
      </w:r>
      <w:r>
        <w:rPr>
          <w:iCs/>
          <w:i/>
        </w:rPr>
        <w:t xml:space="preserve">Before and Beyond Divergence: The Politics of Economic Change in China and Europe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Brook, T. (1998).</w:t>
      </w:r>
      <w:r>
        <w:t xml:space="preserve"> </w:t>
      </w:r>
      <w:r>
        <w:rPr>
          <w:iCs/>
          <w:i/>
        </w:rPr>
        <w:t xml:space="preserve">The Confusions of Pleasure: Commerce and Culture in Ming China</w:t>
      </w:r>
      <w:r>
        <w:t xml:space="preserve">. University of California Press.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2026-10-01T06:51:24Z</dcterms:created>
  <dcterms:modified xsi:type="dcterms:W3CDTF">2026-10-01T06:51:24Z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