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听见沉默缺席者太后政治与档案的建构"/>
    <w:p>
      <w:pPr>
        <w:pStyle w:val="Heading1"/>
      </w:pPr>
      <w:r>
        <w:t xml:space="preserve">听见沉默：缺席者、太后政治与档案的建构</w:t>
      </w:r>
    </w:p>
    <w:p>
      <w:pPr>
        <w:pStyle w:val="FirstParagraph"/>
      </w:pPr>
      <w:r>
        <w:rPr>
          <w:bCs/>
          <w:b/>
        </w:rPr>
        <w:t xml:space="preserve">Hearing the Silence: The Absent, Empress Politics, and the Construction of the Archive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在 1231 个人物中，可被识别的女性——马皇后、钱皇后、万贵妃、郑贵妃、客氏、张太后——仅个位数。这个数字本身，就是本节全部论述的起点：它不说明朝没有女性，而说明朝的史料与叙事都是男性编码的。性别学的价值，正在于把”缺席”从背景变成问题。</w:t>
      </w:r>
    </w:p>
    <w:p>
      <w:pPr>
        <w:pStyle w:val="BodyText"/>
      </w:pPr>
      <w:r>
        <w:t xml:space="preserve">本文从性别研究视角，围绕「听见沉默：缺席者、太后政治与档案的建构」这一命题，依次探讨：一、被折叠的女性权力、二、档案的建构：</w:t>
      </w:r>
      <w:r>
        <w:t xml:space="preserve">“</w:t>
      </w:r>
      <w:r>
        <w:t xml:space="preserve">不在场</w:t>
      </w:r>
      <w:r>
        <w:t xml:space="preserve">”</w:t>
      </w:r>
      <w:r>
        <w:t xml:space="preserve">是如何被制造的、三、制度缝隙里的权力：太后政治的真实规模、四、钱皇后：唯一以”感情”留名的皇后、五、沉默的方法论意义：看见沉默，比填满名单更重要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听见沉默：缺席者、太后政治与档案的建构</w:t>
      </w:r>
      <w:r>
        <w:t xml:space="preserve">”</w:t>
      </w:r>
      <w:r>
        <w:t xml:space="preserve"> </w:t>
      </w:r>
      <w:r>
        <w:t xml:space="preserve">from the standpoint of Gender Studies,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性别视角；太后政治；档案建构；沉默者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gender perspective; empress politics; archive construction; the silenced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被沉默者往往最说明问题；太后政治与档案建构揭示了性别视角的缺失与可能。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本文即从性别研究（Gender Studies）的视角，重新审视这部文本中关于「听见沉默：缺席者、太后政治与档案的建构」的论述，并以知识图谱提供的量化证据对其加以检验。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本文以性别研究的理论透镜解读上述结构化数据：将书中的叙事命题转化为可检验的量化陈述，并以事件类别分布、关系网络度中心性等指标作为证据。所有数字均直接来自知识图谱。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30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在 1231 个人物中，可被识别的女性——马皇后、钱皇后、万贵妃、郑贵妃、客氏、张太后——仅</w:t>
      </w:r>
      <w:r>
        <w:rPr>
          <w:bCs/>
          <w:b/>
        </w:rPr>
        <w:t xml:space="preserve">个位数</w:t>
      </w:r>
      <w:r>
        <w:t xml:space="preserve">。这个数字本身，就是本节全部论述的起点：它不说明朝没有女性，而说明朝的</w:t>
      </w:r>
      <w:r>
        <w:rPr>
          <w:bCs/>
          <w:b/>
        </w:rPr>
        <w:t xml:space="preserve">史料与叙事都是男性编码的</w:t>
      </w:r>
      <w:r>
        <w:t xml:space="preserve">。性别学的价值，正在于把”缺席”从背景变成问题。</w:t>
      </w:r>
    </w:p>
    <w:bookmarkStart w:id="25" w:name="一被折叠的女性权力"/>
    <w:p>
      <w:pPr>
        <w:pStyle w:val="Heading3"/>
      </w:pPr>
      <w:r>
        <w:t xml:space="preserve">一、被折叠的女性权力</w:t>
      </w:r>
    </w:p>
    <w:p>
      <w:pPr>
        <w:pStyle w:val="FirstParagraph"/>
      </w:pPr>
      <w:r>
        <w:t xml:space="preserve">书中并非没有女性政治，只是她们几乎总以”依附者”的身份出现：张太后垂帘辅佐幼帝，是仁宣之治的实际支柱之一；万贵妃以年长十七岁的宫女身份掌控成化帝的情感世界，进而影响朝局；客氏作为天启的乳母，与魏忠贤构成”内廷共治”，其权势大到出行仪仗堪比妃后。但请注意叙事的语法：她们的存在一律通过</w:t>
      </w:r>
      <w:r>
        <w:rPr>
          <w:bCs/>
          <w:b/>
        </w:rPr>
        <w:t xml:space="preserve">与男性的关系</w:t>
      </w:r>
      <w:r>
        <w:t xml:space="preserve">来定义（皇后、宠妃、乳母），几乎从不作为独立政治主体被讲述。高彦颐（Ko, 1994）对明末清初江南才女文化的研究给出了反向证据：同一时期的女性在文学、艺术、出版领域异常活跃——女性并非”无声”，而是被主流叙事系统性噤声。白馥兰（Bray, 1997）则从纺织技术的性别分工切入，指出”男耕女织”不是田园诗而是权力技术：织机安在内室、蚕桑划为妇职，</w:t>
      </w:r>
      <w:r>
        <w:rPr>
          <w:bCs/>
          <w:b/>
        </w:rPr>
        <w:t xml:space="preserve">用劳动分工把女性固定在被记录不到的空间里</w:t>
      </w:r>
      <w:r>
        <w:t xml:space="preserve">——女性在正史中的缺席，与她们在经济中的在场，是同一枚硬币的两面。</w:t>
      </w:r>
    </w:p>
    <w:bookmarkEnd w:id="25"/>
    <w:bookmarkStart w:id="26" w:name="二档案的建构不在场是如何被制造的"/>
    <w:p>
      <w:pPr>
        <w:pStyle w:val="Heading3"/>
      </w:pPr>
      <w:r>
        <w:t xml:space="preserve">二、档案的建构：</w:t>
      </w:r>
      <w:r>
        <w:t xml:space="preserve">“</w:t>
      </w:r>
      <w:r>
        <w:t xml:space="preserve">不在场</w:t>
      </w:r>
      <w:r>
        <w:t xml:space="preserve">”</w:t>
      </w:r>
      <w:r>
        <w:t xml:space="preserve">是如何被制造的</w:t>
      </w:r>
    </w:p>
    <w:p>
      <w:pPr>
        <w:pStyle w:val="FirstParagraph"/>
      </w:pPr>
      <w:r>
        <w:t xml:space="preserve">曼恩（Mann, 1997, 2007）以清代张氏才女的研究示范了如何”从档案的缝隙里读出女性”：当正式记录（列女传、族谱、墓志）只给女性留下”某氏”两个字，诗人诗集的题赠、诉讼文书、书信却保留着她们的完整生命史。曼恩与郑（Mann &amp; Cheng, 2001）的史料读本进一步表明，后妃—太后政治在传统中国远比正史承认的更常见、更制度化为批评——本报告的数据恰好是一个</w:t>
      </w:r>
      <w:r>
        <w:rPr>
          <w:bCs/>
          <w:b/>
        </w:rPr>
        <w:t xml:space="preserve">反面样本</w:t>
      </w:r>
      <w:r>
        <w:t xml:space="preserve">：忠实抽取《明朝那些事儿》的结果，就是忠实复刻了原书及其底本史料的双重盲区。数字人文在此显出它的诚实：数据不会凭空创造在场，但它能精确测量缺席的规模。</w:t>
      </w:r>
    </w:p>
    <w:bookmarkEnd w:id="26"/>
    <w:bookmarkStart w:id="27" w:name="三制度缝隙里的权力太后政治的真实规模"/>
    <w:p>
      <w:pPr>
        <w:pStyle w:val="Heading3"/>
      </w:pPr>
      <w:r>
        <w:t xml:space="preserve">三、制度缝隙里的权力：太后政治的真实规模</w:t>
      </w:r>
    </w:p>
    <w:p>
      <w:pPr>
        <w:pStyle w:val="FirstParagraph"/>
      </w:pPr>
      <w:r>
        <w:t xml:space="preserve">把”缺席”叙事往深看一层，会发现女性权力并未消失，而是</w:t>
      </w:r>
      <w:r>
        <w:rPr>
          <w:bCs/>
          <w:b/>
        </w:rPr>
        <w:t xml:space="preserve">转入制度缝隙</w:t>
      </w:r>
      <w:r>
        <w:t xml:space="preserve">。书中至少三段历史由太后政治实际主导：张太后在仁宣之际的宫中定策；李太后对幼年万历的严训——天不亮就逼皇帝起身上朝，皇帝犯错便罚跪，张居正的改革十年某种程度上是”李太后—冯保—张居正”三人执政的产物；天启朝客氏与魏忠贤的内外相结，更是一个宫女实际支配了帝国最高权力的案例。这些情节的叙事语法值得警惕：她们的政治行动一律被写成”母爱”</w:t>
      </w:r>
      <w:r>
        <w:t xml:space="preserve">“</w:t>
      </w:r>
      <w:r>
        <w:t xml:space="preserve">乳恩</w:t>
      </w:r>
      <w:r>
        <w:t xml:space="preserve">”</w:t>
      </w:r>
      <w:r>
        <w:t xml:space="preserve">或”干政”——女性掌权只有通过家庭角色获得合法性，也永远被这个角色解释。曼恩（Mann, 2007）笔下清代女性用书写为自己争取”道德主体”位置的策略，明代的后妃们只能在重帏之内无声地做同样的事。</w:t>
      </w:r>
    </w:p>
    <w:bookmarkEnd w:id="27"/>
    <w:bookmarkStart w:id="28" w:name="四钱皇后唯一以感情留名的皇后"/>
    <w:p>
      <w:pPr>
        <w:pStyle w:val="Heading3"/>
      </w:pPr>
      <w:r>
        <w:t xml:space="preserve">四、钱皇后：唯一以”感情”留名的皇后</w:t>
      </w:r>
    </w:p>
    <w:p>
      <w:pPr>
        <w:pStyle w:val="FirstParagraph"/>
      </w:pPr>
      <w:r>
        <w:t xml:space="preserve">数据里可识别的女性只有个位数，但书中恰好留下了一个”例外样本”，而例外最能说明规则。写钱皇后时，作者罕见地跳出权力叙事，直白地说：历史上的皇后大多默默无闻，</w:t>
      </w:r>
      <w:r>
        <w:t xml:space="preserve">“</w:t>
      </w:r>
      <w:r>
        <w:t xml:space="preserve">但也有一些皇后因为她们卓越的政治才能和权谋手段被载入史册</w:t>
      </w:r>
      <w:r>
        <w:t xml:space="preserve">”</w:t>
      </w:r>
      <w:r>
        <w:t xml:space="preserve">；而钱皇后”与历史上的那些皇后们不同，她不是靠自己的权术阴谋、政治手段让人们记住她的”，靠的是”最为简单也最为真诚的东西——感情”。土木堡之后，她倾尽私财赎夫、哭坏了眼睛与腿；朱祁镇临终，专门向她告别，并留下另一句遗诏，坚持钱皇后合葬。高彦颐（Ko, 1994）的研究提醒我们，这个”例外”的价值在于它的稀缺性：</w:t>
      </w:r>
      <w:r>
        <w:rPr>
          <w:bCs/>
          <w:b/>
        </w:rPr>
        <w:t xml:space="preserve">帝国档案为女性预留的唯一入口，是”感情”与”名分”——她必须作为忠贞的妻子被记住，而不是作为她自己</w:t>
      </w:r>
      <w:r>
        <w:t xml:space="preserve">。曼恩（Mann, 1997）会进一步指出，钱皇后们的生命细节之所以能留存，靠的是私人文书与口传而非官方史馆；这段叙事的动人之处，恰恰在于它无意间展示了档案机器的筛选标准：一个女性要进入明史，要么成为权力案例，要么成为感情符号——两者都不是她自己。</w:t>
      </w:r>
    </w:p>
    <w:bookmarkEnd w:id="28"/>
    <w:bookmarkStart w:id="29" w:name="五沉默的方法论意义看见沉默比填满名单更重要"/>
    <w:p>
      <w:pPr>
        <w:pStyle w:val="Heading3"/>
      </w:pPr>
      <w:r>
        <w:t xml:space="preserve">五、沉默的方法论意义：看见沉默，比填满名单更重要</w:t>
      </w:r>
    </w:p>
    <w:p>
      <w:pPr>
        <w:pStyle w:val="FirstParagraph"/>
      </w:pPr>
      <w:r>
        <w:t xml:space="preserve">本节不打算做”给明朝补录女英雄”的翻案文章——那是另一种失真。性别学在这里的教益是方法论层面的：</w:t>
      </w:r>
      <w:r>
        <w:rPr>
          <w:bCs/>
          <w:b/>
        </w:rPr>
        <w:t xml:space="preserve">看见沉默，比填满名单更重要</w:t>
      </w:r>
      <w:r>
        <w:t xml:space="preserve">。当我们把”女性近乎缺席”作为一个郑重的数据点标出，而非视而不见，历史书写才向更公允的追问敞开。这也为项目自身立下改进方向：下一轮迭代应主动引入《明史·后妃传》、地方志与墓志铭等史料，把女性与平民的政治 presence 系统性补入数据库。正如本报告反复强调的：数据的局限不是终点，而是下一种提问的接口——倾听沉默者，从测量沉默开始。</w:t>
      </w:r>
    </w:p>
    <w:bookmarkEnd w:id="29"/>
    <w:bookmarkEnd w:id="30"/>
    <w:bookmarkStart w:id="31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性别研究的视角看，被沉默者往往最说明问题；太后政治与档案建构揭示了性别视角的缺失与可能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31"/>
    <w:bookmarkStart w:id="32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性别研究为透镜，借由明史知识图谱的量化骨架，重新审视了《明朝那些事儿》关于「听见沉默：缺席者、太后政治与档案的建构」的论述。分析表明，被沉默者往往最说明问题；太后政治与档案建构揭示了性别视角的缺失与可能。这提示我们：通俗历史叙事与计算人文并非对立，而是可以相互校勘的两类证据——前者提供可被感知的经验，后者提供可被检验的结构。</w:t>
      </w:r>
    </w:p>
    <w:bookmarkEnd w:id="32"/>
    <w:bookmarkStart w:id="33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Bray, F. (1997).</w:t>
      </w:r>
      <w:r>
        <w:t xml:space="preserve"> </w:t>
      </w:r>
      <w:r>
        <w:rPr>
          <w:iCs/>
          <w:i/>
        </w:rPr>
        <w:t xml:space="preserve">Technology and gender: Fabrics of power in late imperial China</w:t>
      </w:r>
      <w:r>
        <w:t xml:space="preserve">. University of California Press.</w:t>
      </w:r>
    </w:p>
    <w:p>
      <w:pPr>
        <w:numPr>
          <w:ilvl w:val="0"/>
          <w:numId w:val="1002"/>
        </w:numPr>
        <w:pStyle w:val="Compact"/>
      </w:pPr>
      <w:r>
        <w:t xml:space="preserve">Ko, D. (1994).</w:t>
      </w:r>
      <w:r>
        <w:t xml:space="preserve"> </w:t>
      </w:r>
      <w:r>
        <w:rPr>
          <w:iCs/>
          <w:i/>
        </w:rPr>
        <w:t xml:space="preserve">Teachers of the Inner Chambers: Women and Culture in Seventeenth-Century China</w:t>
      </w:r>
      <w:r>
        <w:t xml:space="preserve">. Stanford University Press.</w:t>
      </w:r>
    </w:p>
    <w:p>
      <w:pPr>
        <w:numPr>
          <w:ilvl w:val="0"/>
          <w:numId w:val="1002"/>
        </w:numPr>
        <w:pStyle w:val="Compact"/>
      </w:pPr>
      <w:r>
        <w:t xml:space="preserve">Mann, S. (1997).</w:t>
      </w:r>
      <w:r>
        <w:t xml:space="preserve"> </w:t>
      </w:r>
      <w:r>
        <w:rPr>
          <w:iCs/>
          <w:i/>
        </w:rPr>
        <w:t xml:space="preserve">Precious Records: Women in China’s Long Eighteenth Century</w:t>
      </w:r>
      <w:r>
        <w:t xml:space="preserve">. Stanford University Press.</w:t>
      </w:r>
    </w:p>
    <w:p>
      <w:pPr>
        <w:numPr>
          <w:ilvl w:val="0"/>
          <w:numId w:val="1002"/>
        </w:numPr>
        <w:pStyle w:val="Compact"/>
      </w:pPr>
      <w:r>
        <w:t xml:space="preserve">Mann, S. (2007).</w:t>
      </w:r>
      <w:r>
        <w:t xml:space="preserve"> </w:t>
      </w:r>
      <w:r>
        <w:rPr>
          <w:iCs/>
          <w:i/>
        </w:rPr>
        <w:t xml:space="preserve">The Talented Women of the Zhang Family</w:t>
      </w:r>
      <w:r>
        <w:t xml:space="preserve">. University of California Press.</w:t>
      </w:r>
    </w:p>
    <w:p>
      <w:pPr>
        <w:numPr>
          <w:ilvl w:val="0"/>
          <w:numId w:val="1002"/>
        </w:numPr>
        <w:pStyle w:val="Compact"/>
      </w:pPr>
      <w:r>
        <w:t xml:space="preserve">Mann, S., &amp; Cheng, Y. (Eds.). (2001).</w:t>
      </w:r>
      <w:r>
        <w:t xml:space="preserve"> </w:t>
      </w:r>
      <w:r>
        <w:rPr>
          <w:iCs/>
          <w:i/>
        </w:rPr>
        <w:t xml:space="preserve">Under Confucian Eyes: Writings on Gender in Chinese History</w:t>
      </w:r>
      <w:r>
        <w:t xml:space="preserve">. University of California Press.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2026-10-01T06:51:33Z</dcterms:created>
  <dcterms:modified xsi:type="dcterms:W3CDTF">2026-10-01T06:51:33Z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