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用通俗叙事重写编年一部民间明史的方法"/>
    <w:p>
      <w:pPr>
        <w:pStyle w:val="Heading1"/>
      </w:pPr>
      <w:r>
        <w:t xml:space="preserve">用通俗叙事重写编年：一部民间明史的方法</w:t>
      </w:r>
    </w:p>
    <w:p>
      <w:pPr>
        <w:pStyle w:val="FirstParagraph"/>
      </w:pPr>
      <w:r>
        <w:rPr>
          <w:bCs/>
          <w:b/>
        </w:rPr>
        <w:t xml:space="preserve">Rewriting Chronology Through Popular Narrative: A Method for a People’s Ming History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《明朝那些事儿》最被低估的地方，不是它讲了多少故事，而是它用大众能接受的语法，完成了一次严肃的史学操作：把制度性衰败变得可感。传统编年史把明朝拆成年号与诏令，教科书把它拆成”资本主义萌芽”与”封建社会晚期”，而这本书把它拆成一个人、一件事、一个决定的连锁反应。这种写法看似”不学术”，却与二十世纪史学最重要的转向之一——微观史（microhistory）——在方法论上惊人地同构：金兹堡（Ginzburg, 1980）在《奶酪与蛆虫》里用一个小磨坊主的精神世界撬动整个十六世纪的文化史，当年明月则用王振的侥幸、于谦的抉择、崇祯的挣扎撬动整个明代的制度困境。</w:t>
      </w:r>
    </w:p>
    <w:p>
      <w:pPr>
        <w:pStyle w:val="BodyText"/>
      </w:pPr>
      <w:r>
        <w:t xml:space="preserve">本文从历史学视角，围绕「用通俗叙事重写编年：一部民间明史的方法」这一命题，依次探讨：一、叙事重心的证据：数据里写的是”人的博弈”、二、胜利者的书写：被抹去的名字、三、张居正：一个改革者的完整叙事闭环、四、悬案的档案学：建文帝下落与胡濙夜访、五、局限：群体传记法的缺席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用通俗叙事重写编年：一部民间明史的方法</w:t>
      </w:r>
      <w:r>
        <w:t xml:space="preserve">”</w:t>
      </w:r>
      <w:r>
        <w:t xml:space="preserve"> </w:t>
      </w:r>
      <w:r>
        <w:t xml:space="preserve">from the standpoint of History,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通俗史学的史学方法；微观史；叙事转向；编年体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public history; microhistory; narrative turn; chronicle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历史学关心的不仅是发生了什么，更是’谁在记录、谁被抹去’；本书的史学方法本身值得被严肃对待。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本文即从历史学（History）的视角，重新审视这部文本中关于「用通俗叙事重写编年：一部民间明史的方法」的论述，并以知识图谱提供的量化证据对其加以检验。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本文以历史学的理论透镜解读上述结构化数据：将书中的叙事命题转化为可检验的量化陈述，并以事件类别分布、关系网络度中心性等指标作为证据。所有数字均直接来自知识图谱。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30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《明朝那些事儿》最被低估的地方，不是它讲了多少故事，而是它用大众能接受的语法，完成了一次严肃的史学操作：</w:t>
      </w:r>
      <w:r>
        <w:rPr>
          <w:bCs/>
          <w:b/>
        </w:rPr>
        <w:t xml:space="preserve">把制度性衰败变得可感</w:t>
      </w:r>
      <w:r>
        <w:t xml:space="preserve">。传统编年史把明朝拆成年号与诏令，教科书把它拆成”资本主义萌芽”与”封建社会晚期”，而这本书把它拆成一个人、一件事、一个决定的连锁反应。这种写法看似”不学术”，却与二十世纪史学最重要的转向之一——微观史（microhistory）——在方法论上惊人地同构：金兹堡（Ginzburg, 1980）在《奶酪与蛆虫》里用一个小磨坊主的精神世界撬动整个十六世纪的文化史，当年明月则用王振的侥幸、于谦的抉择、崇祯的挣扎撬动整个明代的制度困境。</w:t>
      </w:r>
    </w:p>
    <w:bookmarkStart w:id="25" w:name="一叙事重心的证据数据里写的是人的博弈"/>
    <w:p>
      <w:pPr>
        <w:pStyle w:val="Heading3"/>
      </w:pPr>
      <w:r>
        <w:t xml:space="preserve">一、叙事重心的证据：数据里写的是”人的博弈”</w:t>
      </w:r>
    </w:p>
    <w:p>
      <w:pPr>
        <w:pStyle w:val="FirstParagraph"/>
      </w:pPr>
      <w:r>
        <w:t xml:space="preserve">把全书抽取成结构化数据后，这种叙事取向变得可量化。1106 件事件中，</w:t>
      </w:r>
      <w:r>
        <w:rPr>
          <w:bCs/>
          <w:b/>
        </w:rPr>
        <w:t xml:space="preserve">政治斗争 365 件、军事战争 316 件</w:t>
      </w:r>
      <w:r>
        <w:t xml:space="preserve">，两项合计超过六成；而制度科举仅 34 件、人物生平 35 件。叙述焦点始终落在”人如何在结构里博弈”，而不是制度本身的静态描述。这不是缺陷，恰恰是本书的史学判断：制度不会自己杀人，杀人的是制度中的人——胡惟庸案里的是朱元璋的手，土木堡里的是王振的侥幸，煤山上的是崇祯的孤独。剑桥明代史（Mote &amp; Twitchett, 1988）用制度与结构解释王朝兴衰，本书用人物的选择复现同样的结论：两条路径，一个真相。</w:t>
      </w:r>
    </w:p>
    <w:bookmarkEnd w:id="25"/>
    <w:bookmarkStart w:id="26" w:name="二胜利者的书写被抹去的名字"/>
    <w:p>
      <w:pPr>
        <w:pStyle w:val="Heading3"/>
      </w:pPr>
      <w:r>
        <w:t xml:space="preserve">二、胜利者的书写：被抹去的名字</w:t>
      </w:r>
    </w:p>
    <w:p>
      <w:pPr>
        <w:pStyle w:val="FirstParagraph"/>
      </w:pPr>
      <w:r>
        <w:t xml:space="preserve">书中最锋利的史学段落，是关于”历史如何被书写”的。朱棣夺位后系统性地销毁建文朝档案，</w:t>
      </w:r>
      <w:r>
        <w:t xml:space="preserve">“</w:t>
      </w:r>
      <w:r>
        <w:t xml:space="preserve">连中三元</w:t>
      </w:r>
      <w:r>
        <w:t xml:space="preserve">”</w:t>
      </w:r>
      <w:r>
        <w:t xml:space="preserve">的状元黄观被从记录中抹去，仿佛此人从未存在；方孝孺被诛十族，其文章却无法被真正禁绝。作者把这种”档案暴力”明明白白写给读者看——这实际上是在教普通读者一件事：</w:t>
      </w:r>
      <w:r>
        <w:rPr>
          <w:bCs/>
          <w:b/>
        </w:rPr>
        <w:t xml:space="preserve">你读到的一切史书，都是幸存者与胜利者批准的版本</w:t>
      </w:r>
      <w:r>
        <w:t xml:space="preserve">。怀特（White, 1987）说历史再现本质上是修辞性的，任何”史实”都经过情节化；本书罕见地把这种情节化的过程（谁赢了、谁写、谁被删）一并端上了台面。</w:t>
      </w:r>
    </w:p>
    <w:bookmarkEnd w:id="26"/>
    <w:bookmarkStart w:id="27" w:name="三张居正一个改革者的完整叙事闭环"/>
    <w:p>
      <w:pPr>
        <w:pStyle w:val="Heading3"/>
      </w:pPr>
      <w:r>
        <w:t xml:space="preserve">三、张居正：一个改革者的完整叙事闭环</w:t>
      </w:r>
    </w:p>
    <w:p>
      <w:pPr>
        <w:pStyle w:val="FirstParagraph"/>
      </w:pPr>
      <w:r>
        <w:t xml:space="preserve">以张居正为例看本书的史学方法。书中写他推行一条鞭法时郑重其事——</w:t>
      </w:r>
      <w:r>
        <w:t xml:space="preserve">“</w:t>
      </w:r>
      <w:r>
        <w:t xml:space="preserve">改变了自唐朝以来延续了八百余年的税制</w:t>
      </w:r>
      <w:r>
        <w:t xml:space="preserve">”</w:t>
      </w:r>
      <w:r>
        <w:t xml:space="preserve">，这是把它放在两税法以来整个财政史脉络里定位，而非一句轶闻；写他”夺情”时的满朝抗议，是把制度伦理冲突摆在读者面前；写他死后被抄家、长子自尽，是把”改革者的下场”作为制度分析的一部分。一个人的兴灭，串起财政、官僚、皇权三重结构。黄仁宇（Huang, 1981）用《万历十五年》的一个平淡年份完成的论证，本书用一个人的完整生命周期完成了通俗版——两者共享同一个判断：明代的制度已无法自我修正，个人努力只能延迟、不能逆转。</w:t>
      </w:r>
    </w:p>
    <w:bookmarkEnd w:id="27"/>
    <w:bookmarkStart w:id="28" w:name="四悬案的档案学建文帝下落与胡濙夜访"/>
    <w:p>
      <w:pPr>
        <w:pStyle w:val="Heading3"/>
      </w:pPr>
      <w:r>
        <w:t xml:space="preserve">四、悬案的档案学：建文帝下落与胡濙夜访</w:t>
      </w:r>
    </w:p>
    <w:p>
      <w:pPr>
        <w:pStyle w:val="FirstParagraph"/>
      </w:pPr>
      <w:r>
        <w:t xml:space="preserve">史学最迷人的部分不是已有定论的叙事，而是档案的沉默处。书中花大力气写了一个悬案：朱棣入南京后，建文帝的下落成为帝国最高机密，朱棣派两个人分头查访——陆路是胡濙，水路是郑和。这个近乎虚构的安排被作者写得极实：胡濙”既不是靖难嫡系，也不是重臣之后”，人微言轻、喜怒不形于色，恰恰因此被选中，一查就是十几年；书中最著名的一幕，是某个深夜胡濙回京、不等通传直接面见已就寝的朱棣，君臣密谈至凌晨——史书没有留下谈话内容，只留下朱棣”漏下四鼓乃出”的记载。作者没有替读者下结论（建文帝到底死没死），而是把</w:t>
      </w:r>
      <w:r>
        <w:rPr>
          <w:bCs/>
          <w:b/>
        </w:rPr>
        <w:t xml:space="preserve">证据的边界</w:t>
      </w:r>
      <w:r>
        <w:t xml:space="preserve">原样呈现：官方记录的沉默、地方传闻的滋蔓、追查行为本身构成的反证。这正合金兹堡（Ginzburg, 1980）的”证据范式”——历史学家的功夫不在占有全部事实，而在从零星线索里读出结构；剑桥明史（Mote &amp; Twitchett, 1988）对建文朝系统性销毁档案的处理，也印证了这段叙事的档案学基础。</w:t>
      </w:r>
    </w:p>
    <w:bookmarkEnd w:id="28"/>
    <w:bookmarkStart w:id="29" w:name="五局限群体传记法的缺席"/>
    <w:p>
      <w:pPr>
        <w:pStyle w:val="Heading3"/>
      </w:pPr>
      <w:r>
        <w:t xml:space="preserve">五、局限：群体传记法的缺席</w:t>
      </w:r>
    </w:p>
    <w:p>
      <w:pPr>
        <w:pStyle w:val="FirstParagraph"/>
      </w:pPr>
      <w:r>
        <w:t xml:space="preserve">当然，本书的史学方法有其边界。它擅长个体传记，弱于群体分析：斯通（Stone, 1971）倡导的群体传记法（prosopography）——把几百个官僚的出身、科举年份、婚姻网络放在一起看结构——在这本书里是缺席的，而这恰恰是本知识图谱项目试图补上的部分：1231 个人物、2324 条关系构成的数据库，让”派系”</w:t>
      </w:r>
      <w:r>
        <w:t xml:space="preserve">“</w:t>
      </w:r>
      <w:r>
        <w:t xml:space="preserve">同年</w:t>
      </w:r>
      <w:r>
        <w:t xml:space="preserve">”</w:t>
      </w:r>
      <w:r>
        <w:t xml:space="preserve">“</w:t>
      </w:r>
      <w:r>
        <w:t xml:space="preserve">乡党</w:t>
      </w:r>
      <w:r>
        <w:t xml:space="preserve">”</w:t>
      </w:r>
      <w:r>
        <w:t xml:space="preserve">这些书中点到即止的词，第一次可以被计算。历史学的公共性不在于把门槛降为零，而在于</w:t>
      </w:r>
      <w:r>
        <w:rPr>
          <w:bCs/>
          <w:b/>
        </w:rPr>
        <w:t xml:space="preserve">把问题的答案开放给可检验的数据</w:t>
      </w:r>
      <w:r>
        <w:t xml:space="preserve">。当年明月（2009）用故事完成了第一步，我们用数据接着走第二步。</w:t>
      </w:r>
    </w:p>
    <w:bookmarkEnd w:id="29"/>
    <w:bookmarkEnd w:id="30"/>
    <w:bookmarkStart w:id="31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历史学的视角看，历史学关心的不仅是发生了什么，更是’谁在记录、谁被抹去’；本书的史学方法本身值得被严肃对待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1"/>
    <w:bookmarkStart w:id="32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历史学为透镜，借由明史知识图谱的量化骨架，重新审视了《明朝那些事儿》关于「用通俗叙事重写编年：一部民间明史的方法」的论述。分析表明，历史学关心的不仅是发生了什么，更是’谁在记录、谁被抹去’；本书的史学方法本身值得被严肃对待。这提示我们：通俗历史叙事与计算人文并非对立，而是可以相互校勘的两类证据——前者提供可被感知的经验，后者提供可被检验的结构。</w:t>
      </w:r>
    </w:p>
    <w:bookmarkEnd w:id="32"/>
    <w:bookmarkStart w:id="33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Stone, L. (1971). Prosopography.</w:t>
      </w:r>
      <w:r>
        <w:t xml:space="preserve"> </w:t>
      </w:r>
      <w:r>
        <w:rPr>
          <w:iCs/>
          <w:i/>
        </w:rPr>
        <w:t xml:space="preserve">Daedalus, 100</w:t>
      </w:r>
      <w:r>
        <w:t xml:space="preserve">(1), 46–79.</w:t>
      </w:r>
    </w:p>
    <w:p>
      <w:pPr>
        <w:numPr>
          <w:ilvl w:val="0"/>
          <w:numId w:val="1002"/>
        </w:numPr>
        <w:pStyle w:val="Compact"/>
      </w:pPr>
      <w:r>
        <w:t xml:space="preserve">Huang, R. (1981).</w:t>
      </w:r>
      <w:r>
        <w:t xml:space="preserve"> </w:t>
      </w:r>
      <w:r>
        <w:rPr>
          <w:iCs/>
          <w:i/>
        </w:rPr>
        <w:t xml:space="preserve">1587, A Year of No Significance: The Ming Dynasty in Decline</w:t>
      </w:r>
      <w:r>
        <w:t xml:space="preserve">. Yale University Press.</w:t>
      </w:r>
    </w:p>
    <w:p>
      <w:pPr>
        <w:numPr>
          <w:ilvl w:val="0"/>
          <w:numId w:val="1002"/>
        </w:numPr>
        <w:pStyle w:val="Compact"/>
      </w:pPr>
      <w:r>
        <w:t xml:space="preserve">Ginzburg, C. (1980).</w:t>
      </w:r>
      <w:r>
        <w:t xml:space="preserve"> </w:t>
      </w:r>
      <w:r>
        <w:rPr>
          <w:iCs/>
          <w:i/>
        </w:rPr>
        <w:t xml:space="preserve">The Cheese and the Worms: The Cosmos of a Sixteenth-Century Miller</w:t>
      </w:r>
      <w:r>
        <w:t xml:space="preserve">. Johns Hopkins University Press.</w:t>
      </w:r>
    </w:p>
    <w:p>
      <w:pPr>
        <w:numPr>
          <w:ilvl w:val="0"/>
          <w:numId w:val="1002"/>
        </w:numPr>
        <w:pStyle w:val="Compact"/>
      </w:pPr>
      <w:r>
        <w:t xml:space="preserve">Mote, F. W., &amp; Twitchett, D. (Eds.). (1988).</w:t>
      </w:r>
      <w:r>
        <w:t xml:space="preserve"> </w:t>
      </w:r>
      <w:r>
        <w:rPr>
          <w:iCs/>
          <w:i/>
        </w:rPr>
        <w:t xml:space="preserve">The Cambridge History of China: Volume 7, The Ming Dynasty, 1368–1644, Part 1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Huang, R. (1974).</w:t>
      </w:r>
      <w:r>
        <w:t xml:space="preserve"> </w:t>
      </w:r>
      <w:r>
        <w:rPr>
          <w:iCs/>
          <w:i/>
        </w:rPr>
        <w:t xml:space="preserve">Taxation and Governmental Finance in Sixteenth-Century Ming China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White, H. (1987).</w:t>
      </w:r>
      <w:r>
        <w:t xml:space="preserve"> </w:t>
      </w:r>
      <w:r>
        <w:rPr>
          <w:iCs/>
          <w:i/>
        </w:rPr>
        <w:t xml:space="preserve">The Content of the Form: Narrative Discourse and Historical Representation</w:t>
      </w:r>
      <w:r>
        <w:t xml:space="preserve">. Johns Hopkins University Press.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2026-10-01T06:51:13Z</dcterms:created>
  <dcterms:modified xsi:type="dcterms:W3CDTF">2026-10-01T06:51:13Z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