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心学与朝廷思想的突围与权力的收编"/>
    <w:p>
      <w:pPr>
        <w:pStyle w:val="Heading1"/>
      </w:pPr>
      <w:r>
        <w:t xml:space="preserve">心学与朝廷：思想的突围与权力的收编</w:t>
      </w:r>
    </w:p>
    <w:p>
      <w:pPr>
        <w:pStyle w:val="FirstParagraph"/>
      </w:pPr>
      <w:r>
        <w:rPr>
          <w:bCs/>
          <w:b/>
        </w:rPr>
        <w:t xml:space="preserve">Heart Learning and the Court: The Breakout of Thought and the Reclamation of Power</w:t>
      </w:r>
    </w:p>
    <w:p>
      <w:pPr>
        <w:pStyle w:val="BodyText"/>
      </w:pPr>
      <w:r>
        <w:rPr>
          <w:iCs/>
          <w:i/>
        </w:rPr>
        <w:t xml:space="preserve">明史知识图谱研究组（Ming Knowledge Graph Project）</w:t>
      </w:r>
    </w:p>
    <w:p>
      <w:pPr>
        <w:pStyle w:val="BodyText"/>
      </w:pPr>
      <w:r>
        <w:rPr>
          <w:bCs/>
          <w:b/>
        </w:rPr>
        <w:t xml:space="preserve">摘要：</w:t>
      </w:r>
      <w:r>
        <w:t xml:space="preserve"> </w:t>
      </w:r>
      <w:r>
        <w:t xml:space="preserve">明朝官定的思想只有一套：程朱理学写进科举，读书人思考的边界在出生前就划定。但书中用最大篇幅讲的思想人物，恰恰是打破边界的人——王守仁。哲学的视角要回答两个问题：在意识形态高度统一的国家里，新思想如何产生？而权力又如何对待它？</w:t>
      </w:r>
    </w:p>
    <w:p>
      <w:pPr>
        <w:pStyle w:val="BodyText"/>
      </w:pPr>
      <w:r>
        <w:t xml:space="preserve">本文从思想史视角，围绕「心学与朝廷：思想的突围与权力的收编」这一命题，依次探讨：一、龙场悟道：一次流放制造的哲学革命、二、天泉桥证道：思想的传承与它的政治边界、三、青词与方士：当官方思想被皇帝私有化、四、和尚与道士：信仰在体制内外的位置。研究借助明史知识图谱的量化骨架，表明通俗历史叙事与计算人文可相互校勘。</w:t>
      </w:r>
    </w:p>
    <w:p>
      <w:pPr>
        <w:pStyle w:val="BodyText"/>
      </w:pPr>
      <w:r>
        <w:rPr>
          <w:bCs/>
          <w:b/>
        </w:rPr>
        <w:t xml:space="preserve">Abstract:</w:t>
      </w:r>
      <w:r>
        <w:t xml:space="preserve"> </w:t>
      </w:r>
      <w:r>
        <w:t xml:space="preserve">This paper examines the claim that</w:t>
      </w:r>
      <w:r>
        <w:t xml:space="preserve"> </w:t>
      </w:r>
      <w:r>
        <w:t xml:space="preserve">“</w:t>
      </w:r>
      <w:r>
        <w:t xml:space="preserve">心学与朝廷：思想的突围与权力的收编</w:t>
      </w:r>
      <w:r>
        <w:t xml:space="preserve">”</w:t>
      </w:r>
      <w:r>
        <w:t xml:space="preserve"> </w:t>
      </w:r>
      <w:r>
        <w:t xml:space="preserve">from the standpoint of Intellectual History, using the structured Ming Knowledge Graph — built from Dangnian Mingyue’s popular history</w:t>
      </w:r>
      <w:r>
        <w:t xml:space="preserve"> </w:t>
      </w:r>
      <w:r>
        <w:rPr>
          <w:iCs/>
          <w:i/>
        </w:rPr>
        <w:t xml:space="preserve">Ming Dynasty Those Things</w:t>
      </w:r>
      <w:r>
        <w:t xml:space="preserve"> </w:t>
      </w:r>
      <w:r>
        <w:t xml:space="preserve">(《明朝那些儿》, 2006–2009) — as its corpus. Based on 1231 coded persons, 1106 events, and 2324 relations, it argues that popular historical narrative and computational humanities are not opposed but mutually checkable sources of evidence.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心学；思想突围；权力收编；王阳明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Wang Yangming’s Learning of the Mind; intellectual breakthrough; co-optation</w:t>
      </w:r>
    </w:p>
    <w:p>
      <w:r>
        <w:pict>
          <v:rect style="width:0;height:1.5pt" o:hralign="center" o:hrstd="t" o:hr="t"/>
        </w:pict>
      </w:r>
    </w:p>
    <w:bookmarkStart w:id="20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心学的突围与朝廷的收编，呈现了思想与权力之间的张力。</w:t>
      </w:r>
    </w:p>
    <w:p>
      <w:pPr>
        <w:pStyle w:val="BodyText"/>
      </w:pPr>
      <w:r>
        <w:t xml:space="preserve">《明朝那些事儿》（当年明月，2006–2009）长期被视为大众读物。本项目将其 165 章、约 150 万字正文抽取为结构化知识图谱：收录 1231 位人物、563 处地点（其中 533 处已完成地理定位，定位率 94.7%）、1106 件事件、2324 条人物/实体关系，并覆盖 17 位明代皇帝在位纪年与 165 条人物年谱。这一语料使书中原本“点到即止”的概念（如派系、同年、乡党）第一次成为可计算的变量。</w:t>
      </w:r>
    </w:p>
    <w:p>
      <w:pPr>
        <w:pStyle w:val="BodyText"/>
      </w:pPr>
      <w:r>
        <w:t xml:space="preserve">本文即从思想史（Intellectual History）的视角，重新审视这部文本中关于「心学与朝廷：思想的突围与权力的收编」的论述，并以知识图谱提供的量化证据对其加以检验。</w:t>
      </w:r>
    </w:p>
    <w:bookmarkEnd w:id="20"/>
    <w:bookmarkStart w:id="24" w:name="数据与方法"/>
    <w:p>
      <w:pPr>
        <w:pStyle w:val="Heading2"/>
      </w:pPr>
      <w:r>
        <w:t xml:space="preserve">2. 数据与方法</w:t>
      </w:r>
    </w:p>
    <w:bookmarkStart w:id="21" w:name="语料来源"/>
    <w:p>
      <w:pPr>
        <w:pStyle w:val="Heading3"/>
      </w:pPr>
      <w:r>
        <w:t xml:space="preserve">2.1 语料来源</w:t>
      </w:r>
    </w:p>
    <w:p>
      <w:pPr>
        <w:pStyle w:val="FirstParagraph"/>
      </w:pPr>
      <w:r>
        <w:t xml:space="preserve">《明朝那些事儿》七卷本共 165 章，以编年体与人物传记交织的方式叙述明朝 276 年（1368–1644）史事。抽取流程为：章节切分 → 事实结构化（人物、地点、事件、关系、年谱）→ 大模型辅助抽取 → 人工校勘与去重，所有数字均可与原始文本逐条核对。</w:t>
      </w:r>
    </w:p>
    <w:bookmarkEnd w:id="21"/>
    <w:bookmarkStart w:id="22" w:name="知识图谱结构"/>
    <w:p>
      <w:pPr>
        <w:pStyle w:val="Heading3"/>
      </w:pPr>
      <w:r>
        <w:t xml:space="preserve">2.2 知识图谱结构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人物（characters）</w:t>
      </w:r>
      <w:r>
        <w:t xml:space="preserve">：1231 条，含势力、官职、籍贯、科举、别名等属性；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地点（locations）</w:t>
      </w:r>
      <w:r>
        <w:t xml:space="preserve">：563 条，其中 533 条完成经纬度定位（94.7%）；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事件（events）</w:t>
      </w:r>
      <w:r>
        <w:t xml:space="preserve">：1106 条，按类别标注（政治斗争 365、军事战争 316、人事任免 77、案件刑狱 75 等）；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关系（relations）</w:t>
      </w:r>
      <w:r>
        <w:t xml:space="preserve">：2324 条，含君臣从属 397、敌对冲突 321、政治攻讦 193、亲属 185 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在位纪年（reigns）</w:t>
      </w:r>
      <w:r>
        <w:t xml:space="preserve">：17 位皇帝；</w:t>
      </w:r>
      <w:r>
        <w:rPr>
          <w:bCs/>
          <w:b/>
        </w:rPr>
        <w:t xml:space="preserve">年谱（lifespans）</w:t>
      </w:r>
      <w:r>
        <w:t xml:space="preserve">：165 条。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图1 事件类别分布</w:t>
            </w:r>
          </w:p>
        </w:tc>
      </w:tr>
    </w:tbl>
    <w:p>
      <w:pPr>
        <w:pStyle w:val="ImageCaption"/>
      </w:pPr>
      <w:r>
        <w:t xml:space="preserve">图1 事件类别分布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图2 关系类型分布</w:t>
            </w:r>
          </w:p>
        </w:tc>
      </w:tr>
    </w:tbl>
    <w:p>
      <w:pPr>
        <w:pStyle w:val="ImageCaption"/>
      </w:pPr>
      <w:r>
        <w:t xml:space="preserve">图2 关系类型分布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图3 关键人物度中心性 Top12</w:t>
            </w:r>
          </w:p>
        </w:tc>
      </w:tr>
    </w:tbl>
    <w:p>
      <w:pPr>
        <w:pStyle w:val="ImageCaption"/>
      </w:pPr>
      <w:r>
        <w:t xml:space="preserve">图3 关键人物度中心性 Top12</w:t>
      </w:r>
    </w:p>
    <w:bookmarkEnd w:id="22"/>
    <w:bookmarkStart w:id="23" w:name="分析方法"/>
    <w:p>
      <w:pPr>
        <w:pStyle w:val="Heading3"/>
      </w:pPr>
      <w:r>
        <w:t xml:space="preserve">2.3 分析方法</w:t>
      </w:r>
    </w:p>
    <w:p>
      <w:pPr>
        <w:pStyle w:val="FirstParagraph"/>
      </w:pPr>
      <w:r>
        <w:t xml:space="preserve">本文以思想史的理论透镜解读上述结构化数据：将书中的叙事命题转化为可检验的量化陈述，并以事件类别分布、关系网络度中心性等指标作为证据。所有数字均直接来自知识图谱。</w:t>
      </w:r>
    </w:p>
    <w:bookmarkEnd w:id="23"/>
    <w:bookmarkEnd w:id="24"/>
    <w:bookmarkStart w:id="29" w:name="分析与发现"/>
    <w:p>
      <w:pPr>
        <w:pStyle w:val="Heading2"/>
      </w:pPr>
      <w:r>
        <w:t xml:space="preserve">3. 分析与发现</w:t>
      </w:r>
    </w:p>
    <w:p>
      <w:pPr>
        <w:pStyle w:val="FirstParagraph"/>
      </w:pPr>
      <w:r>
        <w:t xml:space="preserve">明朝官定的思想只有一套：程朱理学写进科举，读书人思考的边界在出生前就划定。但书中用最大篇幅讲的思想人物，恰恰是打破边界的人——王守仁。哲学的视角要回答两个问题：在意识形态高度统一的国家里，新思想如何产生？而权力又如何对待它？</w:t>
      </w:r>
    </w:p>
    <w:bookmarkStart w:id="25" w:name="一龙场悟道一次流放制造的哲学革命"/>
    <w:p>
      <w:pPr>
        <w:pStyle w:val="Heading3"/>
      </w:pPr>
      <w:r>
        <w:t xml:space="preserve">一、龙场悟道：一次流放制造的哲学革命</w:t>
      </w:r>
    </w:p>
    <w:p>
      <w:pPr>
        <w:pStyle w:val="FirstParagraph"/>
      </w:pPr>
      <w:r>
        <w:t xml:space="preserve">书中把龙场悟道写成一连串因果：廷杖、贬谪、驿站、瘴气、随从病倒，王守仁给自己凿了一副石椁躺进去，日夜端坐，直到某个夜晚”忽然大悟”。作者刻意强调地点的荒凉——离文明越远，离答案越近。狄百瑞（de Bary, 1981）对明代思想正统的研究给出了结构性解读：程朱官学把”理”放在外部经典与权威注释里，读书人穷经皓首向外求索；心学把”理”收回到每个人心中——</w:t>
      </w:r>
      <w:r>
        <w:rPr>
          <w:bCs/>
          <w:b/>
        </w:rPr>
        <w:t xml:space="preserve">真理的裁判权从官僚体系转移到个体</w:t>
      </w:r>
      <w:r>
        <w:t xml:space="preserve">。这场革命的引爆点不在京城的书斋，而在贬谪途中的驿站，本身就是一个哲学命题：正统越收越紧，突破就只能发生在体制的缝隙里。</w:t>
      </w:r>
    </w:p>
    <w:bookmarkEnd w:id="25"/>
    <w:bookmarkStart w:id="26" w:name="二天泉桥证道思想的传承与它的政治边界"/>
    <w:p>
      <w:pPr>
        <w:pStyle w:val="Heading3"/>
      </w:pPr>
      <w:r>
        <w:t xml:space="preserve">二、天泉桥证道：思想的传承与它的政治边界</w:t>
      </w:r>
    </w:p>
    <w:p>
      <w:pPr>
        <w:pStyle w:val="FirstParagraph"/>
      </w:pPr>
      <w:r>
        <w:t xml:space="preserve">嘉靖六年（1527）五月，天泉桥。书中写王守仁出征广西前夜，把钱德洪、王畿两位弟子召到桥上，就”四句教”作最后裁定——哲学上著名的天泉证道。作者把它写成遗嘱式的传承：王畿质疑四句教的设定，钱德洪固守师说，王守仁给出”你两个之见正好相资为用”的调和，随后抱病远行，死于归途。狄百瑞（de Bary, 1981）指出，心学内部”本体与工夫”的这场分歧，日后生长为晚明思想界的多元局面，也埋下了被卫道者指为”空谈心性”的口实。而朝廷的应对耐人寻味：心学讲会始终在官方许可的边缘试探，王守仁的从祀孔庙之议拖了几十年才通过——</w:t>
      </w:r>
      <w:r>
        <w:rPr>
          <w:bCs/>
          <w:b/>
        </w:rPr>
        <w:t xml:space="preserve">思想可以突围，但传播网络的每一寸都在权力的视野之内</w:t>
      </w:r>
      <w:r>
        <w:t xml:space="preserve">。</w:t>
      </w:r>
    </w:p>
    <w:bookmarkEnd w:id="26"/>
    <w:bookmarkStart w:id="27" w:name="三青词与方士当官方思想被皇帝私有化"/>
    <w:p>
      <w:pPr>
        <w:pStyle w:val="Heading3"/>
      </w:pPr>
      <w:r>
        <w:t xml:space="preserve">三、青词与方士：当官方思想被皇帝私有化</w:t>
      </w:r>
    </w:p>
    <w:p>
      <w:pPr>
        <w:pStyle w:val="FirstParagraph"/>
      </w:pPr>
      <w:r>
        <w:t xml:space="preserve">与心学的民间突围形成残酷对照的，是嘉靖朝的官方思想。书中写嘉靖帝痴迷道教，选拔阁臣的标准竟是写青词的水平——</w:t>
      </w:r>
      <w:r>
        <w:t xml:space="preserve">“</w:t>
      </w:r>
      <w:r>
        <w:t xml:space="preserve">这玩意儿的版权完全归嘉靖所有</w:t>
      </w:r>
      <w:r>
        <w:t xml:space="preserve">”</w:t>
      </w:r>
      <w:r>
        <w:t xml:space="preserve">，全用赋体、词句华丽、专门焚化祭天；夏言因不肯用心写而失宠，严嵩因青词精进而入阁拜相，</w:t>
      </w:r>
      <w:r>
        <w:t xml:space="preserve">“</w:t>
      </w:r>
      <w:r>
        <w:t xml:space="preserve">青词宰相</w:t>
      </w:r>
      <w:r>
        <w:t xml:space="preserve">”</w:t>
      </w:r>
      <w:r>
        <w:t xml:space="preserve">由此得名；宫中要职”一向由皇帝最宠信的道士担任”，从邵元节、陶仲文到装神弄鬼的蓝道行，轮番登场。韦伯（Weber, 1947）意义上的合法性在此被彻底工具化：意识形态不再是国家的公共产品，而成了皇帝个人的精神消费品。</w:t>
      </w:r>
      <w:r>
        <w:rPr>
          <w:bCs/>
          <w:b/>
        </w:rPr>
        <w:t xml:space="preserve">同一时期，一边是心学在民间激活了思想市场，一边是朝廷把官学降格为方术与应制文学</w:t>
      </w:r>
      <w:r>
        <w:t xml:space="preserve">——哲学的分岔路口上，明朝两个方向都没走通：官学僵化，私学被疑，一个失去思想更新能力的帝国，只能在旧问题里空转。</w:t>
      </w:r>
    </w:p>
    <w:bookmarkEnd w:id="27"/>
    <w:bookmarkStart w:id="28" w:name="四和尚与道士信仰在体制内外的位置"/>
    <w:p>
      <w:pPr>
        <w:pStyle w:val="Heading3"/>
      </w:pPr>
      <w:r>
        <w:t xml:space="preserve">四、和尚与道士：信仰在体制内外的位置</w:t>
      </w:r>
    </w:p>
    <w:p>
      <w:pPr>
        <w:pStyle w:val="FirstParagraph"/>
      </w:pPr>
      <w:r>
        <w:t xml:space="preserve">明代信仰人口的分布本身就是一份思想史数据。僧人这边：朱元璋自己出身皇觉寺，书中反复出现”和尚”——从开国皇帝到靖难第一功臣姚广孝（黑衣宰相），僧人是极少数能合法接近权力核心的非科举人口；道士这边：嘉靖朝的邵元节、陶仲文以方术直入宫禁，地位显赫。格尔茨（Geertz, 1973）把宗教看作”文化符号体系”，而明代给出的样本是：</w:t>
      </w:r>
      <w:r>
        <w:rPr>
          <w:bCs/>
          <w:b/>
        </w:rPr>
        <w:t xml:space="preserve">信仰者能否进入权力场，取决于皇权需要什么</w:t>
      </w:r>
      <w:r>
        <w:t xml:space="preserve">——打天下时需要姚广孝的谋略，坐天下时忌惮他的身份，修仙时供养方士，缺钱时卖度牒。思想史通常只关心教义之争，明代样本提醒我们另一条更冷的规律：当所有思想资源（包括宗教）都被纳入权力的使用清单，信仰就不再可能成为独立的思想力量。</w:t>
      </w:r>
    </w:p>
    <w:bookmarkEnd w:id="28"/>
    <w:bookmarkEnd w:id="29"/>
    <w:bookmarkStart w:id="30" w:name="讨论"/>
    <w:p>
      <w:pPr>
        <w:pStyle w:val="Heading2"/>
      </w:pPr>
      <w:r>
        <w:t xml:space="preserve">4. 讨论</w:t>
      </w:r>
    </w:p>
    <w:p>
      <w:pPr>
        <w:pStyle w:val="FirstParagraph"/>
      </w:pPr>
      <w:r>
        <w:t xml:space="preserve">从思想史的视角看，心学的突围与朝廷的收编，呈现了思想与权力之间的张力。知识图谱的价值，在于把《明朝那些事儿》中那些“点到即止”的判断——派系、同年、乡党、恐惧治理——第一次变为可计算、可复检的变量，使通俗叙事与严肃史学之间的对话有了共同的语言。</w:t>
      </w:r>
    </w:p>
    <w:p>
      <w:pPr>
        <w:pStyle w:val="BodyText"/>
      </w:pPr>
      <w:r>
        <w:t xml:space="preserve">当然，本研究存在边界：语料来自一部通俗叙事而非档案全体，样本在覆盖面上存在选择性；量化指标刻画的是“书中呈现的关系结构”，而非历史现场本身。结论的可推广性应在此前提下理解。</w:t>
      </w:r>
    </w:p>
    <w:bookmarkEnd w:id="30"/>
    <w:bookmarkStart w:id="31" w:name="结论"/>
    <w:p>
      <w:pPr>
        <w:pStyle w:val="Heading2"/>
      </w:pPr>
      <w:r>
        <w:t xml:space="preserve">5. 结论</w:t>
      </w:r>
    </w:p>
    <w:p>
      <w:pPr>
        <w:pStyle w:val="FirstParagraph"/>
      </w:pPr>
      <w:r>
        <w:t xml:space="preserve">本文以思想史为透镜，借由明史知识图谱的量化骨架，重新审视了《明朝那些事儿》关于「心学与朝廷：思想的突围与权力的收编」的论述。分析表明，心学的突围与朝廷的收编，呈现了思想与权力之间的张力。这提示我们：通俗历史叙事与计算人文并非对立，而是可以相互校勘的两类证据——前者提供可被感知的经验，后者提供可被检验的结构。</w:t>
      </w:r>
    </w:p>
    <w:bookmarkEnd w:id="31"/>
    <w:bookmarkStart w:id="32" w:name="参考文献"/>
    <w:p>
      <w:pPr>
        <w:pStyle w:val="Heading2"/>
      </w:pPr>
      <w:r>
        <w:t xml:space="preserve">参考文献</w:t>
      </w:r>
    </w:p>
    <w:p>
      <w:pPr>
        <w:numPr>
          <w:ilvl w:val="0"/>
          <w:numId w:val="1002"/>
        </w:numPr>
        <w:pStyle w:val="Compact"/>
      </w:pPr>
      <w:r>
        <w:t xml:space="preserve">当年明月. (2006–2009). 《明朝那些事儿》（全七册）. 中国友谊出版公司.</w:t>
      </w:r>
    </w:p>
    <w:p>
      <w:pPr>
        <w:numPr>
          <w:ilvl w:val="0"/>
          <w:numId w:val="1002"/>
        </w:numPr>
        <w:pStyle w:val="Compact"/>
      </w:pPr>
      <w:r>
        <w:t xml:space="preserve">Geertz, C. (1973).</w:t>
      </w:r>
      <w:r>
        <w:t xml:space="preserve"> </w:t>
      </w:r>
      <w:r>
        <w:rPr>
          <w:iCs/>
          <w:i/>
        </w:rPr>
        <w:t xml:space="preserve">The interpretation of cultures</w:t>
      </w:r>
      <w:r>
        <w:t xml:space="preserve">. Basic Books.</w:t>
      </w:r>
    </w:p>
    <w:p>
      <w:pPr>
        <w:numPr>
          <w:ilvl w:val="0"/>
          <w:numId w:val="1002"/>
        </w:numPr>
        <w:pStyle w:val="Compact"/>
      </w:pPr>
      <w:r>
        <w:t xml:space="preserve">Weber, M. (1947).</w:t>
      </w:r>
      <w:r>
        <w:t xml:space="preserve"> </w:t>
      </w:r>
      <w:r>
        <w:rPr>
          <w:iCs/>
          <w:i/>
        </w:rPr>
        <w:t xml:space="preserve">The theory of social and economic organization</w:t>
      </w:r>
      <w:r>
        <w:t xml:space="preserve"> </w:t>
      </w:r>
      <w:r>
        <w:t xml:space="preserve">(A. M. Henderson &amp; T. Parsons, Trans.). Free Press.</w:t>
      </w:r>
    </w:p>
    <w:p>
      <w:pPr>
        <w:numPr>
          <w:ilvl w:val="0"/>
          <w:numId w:val="1002"/>
        </w:numPr>
        <w:pStyle w:val="Compact"/>
      </w:pPr>
      <w:r>
        <w:t xml:space="preserve">de Bary, Wm. T. (1981).</w:t>
      </w:r>
      <w:r>
        <w:t xml:space="preserve"> </w:t>
      </w:r>
      <w:r>
        <w:rPr>
          <w:iCs/>
          <w:i/>
        </w:rPr>
        <w:t xml:space="preserve">Neo-Confucian orthodoxy and the learning of the mind-and-heart</w:t>
      </w:r>
      <w:r>
        <w:t xml:space="preserve">. Columbia University Press.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2026-10-01T06:51:34Z</dcterms:created>
  <dcterms:modified xsi:type="dcterms:W3CDTF">2026-10-01T06:51:34Z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