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皇权之上有法吗廷杖诏狱与程序正义"/>
    <w:p>
      <w:pPr>
        <w:pStyle w:val="Heading1"/>
      </w:pPr>
      <w:r>
        <w:t xml:space="preserve">皇权之上有法吗：廷杖、诏狱与程序正义</w:t>
      </w:r>
    </w:p>
    <w:p>
      <w:pPr>
        <w:pStyle w:val="FirstParagraph"/>
      </w:pPr>
      <w:r>
        <w:rPr>
          <w:bCs/>
          <w:b/>
        </w:rPr>
        <w:t xml:space="preserve">Is There Law Above the Throne? The Caning, the Prison, and Procedural Justice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明朝司法最触目的特征，是皇权对科层司法的反复超越。数据中的”案件刑狱”类事件多达 75 件，样本赫然列着空印案、郭桓案、胡惟庸案（诛三族）、蓝玉案、朱亮祖鞭死案——明初大案几乎把功臣集团整建制清洗，且多不经正式审判程序。法学视角要回答的问题是：明朝没有法律吗？有，而且很发达；问题是法律头顶始终站着一个”人”。</w:t>
      </w:r>
    </w:p>
    <w:p>
      <w:pPr>
        <w:pStyle w:val="BodyText"/>
      </w:pPr>
      <w:r>
        <w:t xml:space="preserve">本文从法学视角，围绕「皇权之上有法吗：廷杖、诏狱与程序正义」这一命题，依次探讨：一、《大诰》与法外用刑：恐怖作为治理术、二、剥皮实草：惩罚作为公共展演、三、诏狱：一个平行司法系统、三、廷杖：程序正义的当众处刑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皇权之上有法吗：廷杖、诏狱与程序正义</w:t>
      </w:r>
      <w:r>
        <w:t xml:space="preserve">”</w:t>
      </w:r>
      <w:r>
        <w:t xml:space="preserve"> </w:t>
      </w:r>
      <w:r>
        <w:t xml:space="preserve">from the standpoint of Law,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廷杖；诏狱；程序正义；君主司法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court caning; secret prison; procedural justice; royal justice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在皇权之下，廷杖与诏狱揭示了中国前现代’法’的边界与程序正义的缺席。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本文即从法学（Law）的视角，重新审视这部文本中关于「皇权之上有法吗：廷杖、诏狱与程序正义」的论述，并以知识图谱提供的量化证据对其加以检验。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本文以法学的理论透镜解读上述结构化数据：将书中的叙事命题转化为可检验的量化陈述，并以事件类别分布、关系网络度中心性等指标作为证据。所有数字均直接来自知识图谱。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29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明朝司法最触目的特征，是</w:t>
      </w:r>
      <w:r>
        <w:rPr>
          <w:bCs/>
          <w:b/>
        </w:rPr>
        <w:t xml:space="preserve">皇权对科层司法的反复超越</w:t>
      </w:r>
      <w:r>
        <w:t xml:space="preserve">。数据中的”案件刑狱”类事件多达 75 件，样本赫然列着空印案、郭桓案、胡惟庸案（诛三族）、蓝玉案、朱亮祖鞭死案——明初大案几乎把功臣集团整建制清洗，且多不经正式审判程序。法学视角要回答的问题是：明朝没有法律吗？有，而且很发达；问题是法律头顶始终站着一个”人”。</w:t>
      </w:r>
    </w:p>
    <w:bookmarkStart w:id="25" w:name="一大诰与法外用刑恐怖作为治理术"/>
    <w:p>
      <w:pPr>
        <w:pStyle w:val="Heading3"/>
      </w:pPr>
      <w:r>
        <w:t xml:space="preserve">一、《大诰》与法外用刑：恐怖作为治理术</w:t>
      </w:r>
    </w:p>
    <w:p>
      <w:pPr>
        <w:pStyle w:val="FirstParagraph"/>
      </w:pPr>
      <w:r>
        <w:t xml:space="preserve">朱元璋颁行《大诰》四编，以重典治吏，甚至鼓励百姓”绑缚害民官吏赴京”——书中多处渲染这种”全民皆法官”的景象。法默（Farmer, 1995）对明初立法的专研指出，《大诰》的本质是</w:t>
      </w:r>
      <w:r>
        <w:rPr>
          <w:bCs/>
          <w:b/>
        </w:rPr>
        <w:t xml:space="preserve">法典之外的第二套刑事系统</w:t>
      </w:r>
      <w:r>
        <w:t xml:space="preserve">：法外用刑、族诛连坐、罗织罪名，其效力来自皇帝的个人意志而非立法程序。杨一凡（1988）的《明大诰研究》以校勘考辨确认：这部”法典”在朱元璋身后即被实际废止——工具性的立法，用完即弃。博德与莫里斯（Bodde &amp; Morris, 1967）对帝制司法的经典研究提供了对照系：常态下，州县自理词讼到刑部覆核，司法仍循例案运行；但皇权保留随时击穿程序的全权。</w:t>
      </w:r>
      <w:r>
        <w:rPr>
          <w:bCs/>
          <w:b/>
        </w:rPr>
        <w:t xml:space="preserve">常态与非常态的边界，就是皇权的边界</w:t>
      </w:r>
      <w:r>
        <w:t xml:space="preserve">——明代的特殊性在于把”非常态”用到了制度化的程度。</w:t>
      </w:r>
    </w:p>
    <w:bookmarkEnd w:id="25"/>
    <w:bookmarkStart w:id="26" w:name="二剥皮实草惩罚作为公共展演"/>
    <w:p>
      <w:pPr>
        <w:pStyle w:val="Heading3"/>
      </w:pPr>
      <w:r>
        <w:t xml:space="preserve">二、剥皮实草：惩罚作为公共展演</w:t>
      </w:r>
    </w:p>
    <w:p>
      <w:pPr>
        <w:pStyle w:val="FirstParagraph"/>
      </w:pPr>
      <w:r>
        <w:t xml:space="preserve">《大诰》体系最刺目的部分，是作者毫不回避地写下的细节：朱元璋命令官员贪污处死后剥下人皮、填入稻草，做成”稻草人”挂在衙门公座旁——明初的官衙里，</w:t>
      </w:r>
      <w:r>
        <w:t xml:space="preserve">“</w:t>
      </w:r>
      <w:r>
        <w:t xml:space="preserve">在大门和二门之间多设置了一个土地祠</w:t>
      </w:r>
      <w:r>
        <w:t xml:space="preserve">”</w:t>
      </w:r>
      <w:r>
        <w:t xml:space="preserve">，夜间无人敢看，因为那里是剥皮的场所。《大诰》甚至把各种酷刑的执行细节写成通俗读物发放全国，作者挖苦说足可”让人把刚吃进去的东西再吐出来”。杨一凡（1988）的《明大诰研究》确认了这套文本—刑具复合体的性质：</w:t>
      </w:r>
      <w:r>
        <w:rPr>
          <w:bCs/>
          <w:b/>
        </w:rPr>
        <w:t xml:space="preserve">惩罚的目的不在惩罚本身，而在展演</w:t>
      </w:r>
      <w:r>
        <w:t xml:space="preserve">——用最直观的身体恐怖完成对整个官僚群体的持续性威慑。博德与莫里斯（Bodde &amp; Morris, 1967）研究的常规司法讲究”依例断罪”、程序可预期，剥皮实草则是它的反命题：不可预期、不可申诉、以观感代替量刑。它的失败同样是展演性的：恐怖很快钝化（书中写官员们”深以被打为荣”式的心态并非孤例），洪武朝的严刑没能阻止此后宦官、权臣的贪腐——</w:t>
      </w:r>
      <w:r>
        <w:rPr>
          <w:bCs/>
          <w:b/>
        </w:rPr>
        <w:t xml:space="preserve">当惩罚沦为表演，观众最先学会的是麻木</w:t>
      </w:r>
      <w:r>
        <w:t xml:space="preserve">。</w:t>
      </w:r>
    </w:p>
    <w:bookmarkEnd w:id="26"/>
    <w:bookmarkStart w:id="27" w:name="三诏狱一个平行司法系统"/>
    <w:p>
      <w:pPr>
        <w:pStyle w:val="Heading3"/>
      </w:pPr>
      <w:r>
        <w:t xml:space="preserve">三、诏狱：一个平行司法系统</w:t>
      </w:r>
    </w:p>
    <w:p>
      <w:pPr>
        <w:pStyle w:val="FirstParagraph"/>
      </w:pPr>
      <w:r>
        <w:t xml:space="preserve">厂卫（东厂、锦衣卫）诏狱是明代最有辨识度的司法发明：它</w:t>
      </w:r>
      <w:r>
        <w:rPr>
          <w:bCs/>
          <w:b/>
        </w:rPr>
        <w:t xml:space="preserve">独立于刑部、都察院、大理寺三法司之外，只听命于皇帝</w:t>
      </w:r>
      <w:r>
        <w:t xml:space="preserve">。杨涟下诏狱后遭”土囊压身、铁钉贯耳”，仍写下”大笑，大笑，还大笑，刀砍东风，于我何有哉”的绝笔；左光斗面焦不可辨，弟子史可法以重金贿狱卒才得见一面。瞿同祖（Ch’ü, 1961）指出传统中国法律的底色是”儒家伦理的司法化”——法本就不独立于伦理与权力；而诏狱把这一逻辑推到极致：连伦理的程序外壳也省了，直接以意志为法。韦伯（Weber, 1947）意义上的”规则之治”在此完全让位于”意志之治”。值得注意的是成本：诏狱摧毁的是皇帝最难替代的资源——敢于据理力争的官僚，崇祯朝”临事无人”的局面，一半是诏狱的遗产。</w:t>
      </w:r>
    </w:p>
    <w:bookmarkEnd w:id="27"/>
    <w:bookmarkStart w:id="28" w:name="三廷杖程序正义的当众处刑"/>
    <w:p>
      <w:pPr>
        <w:pStyle w:val="Heading3"/>
      </w:pPr>
      <w:r>
        <w:t xml:space="preserve">三、廷杖：程序正义的当众处刑</w:t>
      </w:r>
    </w:p>
    <w:p>
      <w:pPr>
        <w:pStyle w:val="FirstParagraph"/>
      </w:pPr>
      <w:r>
        <w:t xml:space="preserve">如果说诏狱是隐蔽的法外之地，廷杖就是公开的：在朝堂上当众杖责言官，</w:t>
      </w:r>
      <w:r>
        <w:t xml:space="preserve">“</w:t>
      </w:r>
      <w:r>
        <w:t xml:space="preserve">毙者十数人</w:t>
      </w:r>
      <w:r>
        <w:t xml:space="preserve">”</w:t>
      </w:r>
      <w:r>
        <w:t xml:space="preserve">史不绝书。它的法学意涵在于仪式性——</w:t>
      </w:r>
      <w:r>
        <w:rPr>
          <w:bCs/>
          <w:b/>
        </w:rPr>
        <w:t xml:space="preserve">以最公开的方式宣告：士大夫的身体与尊严，不是法律主体，是皇权的客体</w:t>
      </w:r>
      <w:r>
        <w:t xml:space="preserve">。瞿同祖框架下的中国法本以”礼”为最高规范，廷杖却连”礼”也凌驾了：当众剥裤行刑，是对整个士大夫集体的人格宣示。王守仁被廷杖后龙场悟道，杨继盛被打断腿骨以碎碗刮腐肉自疗——廷杖没有消灭士人，反而催生了明代最坚硬的精神脊梁。法学的洞见由此完整：明朝不是没有法律，而是法律始终屈从于最高的”人”；也正因如此，</w:t>
      </w:r>
      <w:r>
        <w:rPr>
          <w:bCs/>
          <w:b/>
        </w:rPr>
        <w:t xml:space="preserve">每一寸程序正义的缺席，最终都以政治衰败的形式连本带息偿还</w:t>
      </w:r>
      <w:r>
        <w:t xml:space="preserve">。</w:t>
      </w:r>
    </w:p>
    <w:bookmarkEnd w:id="28"/>
    <w:bookmarkEnd w:id="29"/>
    <w:bookmarkStart w:id="30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法学的视角看，在皇权之下，廷杖与诏狱揭示了中国前现代’法’的边界与程序正义的缺席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30"/>
    <w:bookmarkStart w:id="31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法学为透镜，借由明史知识图谱的量化骨架，重新审视了《明朝那些事儿》关于「皇权之上有法吗：廷杖、诏狱与程序正义」的论述。分析表明，在皇权之下，廷杖与诏狱揭示了中国前现代’法’的边界与程序正义的缺席。这提示我们：通俗历史叙事与计算人文并非对立，而是可以相互校勘的两类证据——前者提供可被感知的经验，后者提供可被检验的结构。</w:t>
      </w:r>
    </w:p>
    <w:bookmarkEnd w:id="31"/>
    <w:bookmarkStart w:id="32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Weber, M. (1947).</w:t>
      </w:r>
      <w:r>
        <w:t xml:space="preserve"> </w:t>
      </w:r>
      <w:r>
        <w:rPr>
          <w:iCs/>
          <w:i/>
        </w:rPr>
        <w:t xml:space="preserve">The theory of social and economic organization</w:t>
      </w:r>
      <w:r>
        <w:t xml:space="preserve"> </w:t>
      </w:r>
      <w:r>
        <w:t xml:space="preserve">(A. M. Henderson &amp; T. Parsons, Trans.). Free Press.</w:t>
      </w:r>
    </w:p>
    <w:p>
      <w:pPr>
        <w:numPr>
          <w:ilvl w:val="0"/>
          <w:numId w:val="1002"/>
        </w:numPr>
        <w:pStyle w:val="Compact"/>
      </w:pPr>
      <w:r>
        <w:t xml:space="preserve">de Bary, Wm. T. (1981).</w:t>
      </w:r>
      <w:r>
        <w:t xml:space="preserve"> </w:t>
      </w:r>
      <w:r>
        <w:rPr>
          <w:iCs/>
          <w:i/>
        </w:rPr>
        <w:t xml:space="preserve">Neo-Confucian orthodoxy and the learning of the mind-and-heart</w:t>
      </w:r>
      <w:r>
        <w:t xml:space="preserve">. Columbia University Press.</w:t>
      </w:r>
    </w:p>
    <w:p>
      <w:pPr>
        <w:numPr>
          <w:ilvl w:val="0"/>
          <w:numId w:val="1002"/>
        </w:numPr>
        <w:pStyle w:val="Compact"/>
      </w:pPr>
      <w:r>
        <w:t xml:space="preserve">Bodde, D., &amp; Morris, C. (1967).</w:t>
      </w:r>
      <w:r>
        <w:t xml:space="preserve"> </w:t>
      </w:r>
      <w:r>
        <w:rPr>
          <w:iCs/>
          <w:i/>
        </w:rPr>
        <w:t xml:space="preserve">Law in Imperial China: Exemplified by 190 Ch’ing Dynasty Cases</w:t>
      </w:r>
      <w:r>
        <w:t xml:space="preserve">. Harvard University Press.</w:t>
      </w:r>
    </w:p>
    <w:p>
      <w:pPr>
        <w:numPr>
          <w:ilvl w:val="0"/>
          <w:numId w:val="1002"/>
        </w:numPr>
        <w:pStyle w:val="Compact"/>
      </w:pPr>
      <w:r>
        <w:t xml:space="preserve">Ch’ü, T.-t. (1961).</w:t>
      </w:r>
      <w:r>
        <w:t xml:space="preserve"> </w:t>
      </w:r>
      <w:r>
        <w:rPr>
          <w:iCs/>
          <w:i/>
        </w:rPr>
        <w:t xml:space="preserve">Law and Society in Traditional China</w:t>
      </w:r>
      <w:r>
        <w:t xml:space="preserve">. Mouton.</w:t>
      </w:r>
    </w:p>
    <w:p>
      <w:pPr>
        <w:numPr>
          <w:ilvl w:val="0"/>
          <w:numId w:val="1002"/>
        </w:numPr>
        <w:pStyle w:val="Compact"/>
      </w:pPr>
      <w:r>
        <w:t xml:space="preserve">Farmer, E. L. (1995).</w:t>
      </w:r>
      <w:r>
        <w:t xml:space="preserve"> </w:t>
      </w:r>
      <w:r>
        <w:rPr>
          <w:iCs/>
          <w:i/>
        </w:rPr>
        <w:t xml:space="preserve">Zhu Yuanzhang and Early Ming Legislation: The Reordering of Chinese Society Following the Era of Mongol Rule</w:t>
      </w:r>
      <w:r>
        <w:t xml:space="preserve">. Brill.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2026-10-01T06:51:28Z</dcterms:created>
  <dcterms:modified xsi:type="dcterms:W3CDTF">2026-10-01T06:51:28Z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