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防御链的衰变从卫所到辽东"/>
    <w:p>
      <w:pPr>
        <w:pStyle w:val="Heading1"/>
      </w:pPr>
      <w:r>
        <w:t xml:space="preserve">防御链的衰变：从卫所到辽东</w:t>
      </w:r>
    </w:p>
    <w:p>
      <w:pPr>
        <w:pStyle w:val="FirstParagraph"/>
      </w:pPr>
      <w:r>
        <w:rPr>
          <w:bCs/>
          <w:b/>
        </w:rPr>
        <w:t xml:space="preserve">The Decay of the Defense Chain: From the Guard-system to Liaodong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军事是本书最稠密的题材：316 件军事战争事件，从鄱阳湖之战（1363）到山海关之战（1644），横贯全书。数据与叙事共同指向一个结论：明朝之亡不是亡于一场决定性会战，而是亡于军事体系的慢性衰变——卫所先烂，边镇后烂，京营最后烂，防御链逐节断裂。</w:t>
      </w:r>
    </w:p>
    <w:p>
      <w:pPr>
        <w:pStyle w:val="BodyText"/>
      </w:pPr>
      <w:r>
        <w:t xml:space="preserve">本文从军事学视角，围绕「防御链的衰变：从卫所到辽东」这一命题，依次探讨：一、卫所的悖论：把军队”制度化地弱化”、二、火器与代差：领先者的掉队、三、士兵的视角：欠饷、哗变与倒戈、四、露梁海战：一个体系最后的协同、五、防御链的断裂：内部瓦解先于外部征服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防御链的衰变：从卫所到辽东</w:t>
      </w:r>
      <w:r>
        <w:t xml:space="preserve">”</w:t>
      </w:r>
      <w:r>
        <w:t xml:space="preserve"> </w:t>
      </w:r>
      <w:r>
        <w:t xml:space="preserve">from the standpoint of Military History,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卫所制度；防御链衰变；辽东；九边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guard-system; defense decay; Liaodong; nine frontiers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从卫所到辽东，明代防御链的衰变展示了制度退化的典型路径。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本文即从军事学（Military History）的视角，重新审视这部文本中关于「防御链的衰变：从卫所到辽东」的论述，并以知识图谱提供的量化证据对其加以检验。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本文以军事学的理论透镜解读上述结构化数据：将书中的叙事命题转化为可检验的量化陈述，并以事件类别分布、关系网络度中心性等指标作为证据。所有数字均直接来自知识图谱。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30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军事是本书最稠密的题材：316 件军事战争事件，从鄱阳湖之战（1363）到山海关之战（1644），横贯全书。数据与叙事共同指向一个结论：明朝之亡不是亡于一场决定性会战，而是亡于</w:t>
      </w:r>
      <w:r>
        <w:rPr>
          <w:bCs/>
          <w:b/>
        </w:rPr>
        <w:t xml:space="preserve">军事体系的慢性衰变</w:t>
      </w:r>
      <w:r>
        <w:t xml:space="preserve">——卫所先烂，边镇后烂，京营最后烂，防御链逐节断裂。</w:t>
      </w:r>
    </w:p>
    <w:bookmarkStart w:id="25" w:name="一卫所的悖论把军队制度化地弱化"/>
    <w:p>
      <w:pPr>
        <w:pStyle w:val="Heading3"/>
      </w:pPr>
      <w:r>
        <w:t xml:space="preserve">一、卫所的悖论：把军队”制度化地弱化”</w:t>
      </w:r>
    </w:p>
    <w:p>
      <w:pPr>
        <w:pStyle w:val="FirstParagraph"/>
      </w:pPr>
      <w:r>
        <w:t xml:space="preserve">明初的卫所制是天才设计：军户世袭、屯田自给，朱元璋自豪于”吾养兵百万，不费百姓一粒米”。但它内嵌一个致命悖论——</w:t>
      </w:r>
      <w:r>
        <w:rPr>
          <w:bCs/>
          <w:b/>
        </w:rPr>
        <w:t xml:space="preserve">军队的效率与皇权的安全感成反比</w:t>
      </w:r>
      <w:r>
        <w:t xml:space="preserve">。为防范唐代藩镇与元代军阀的故事重演，明朝用文官监军、以宦官监军、分权到连兵部都调不动一兵。洛奇（Lorge, 2005）的跨朝代研究指出，军事能力决定政权强度，而明朝主动选择了”制度化弱化”军力。代价随时间显形：土地兼并吞掉军屯，军户逃亡过半，卫所到明中期已成空壳——戚继光募兵制、李成梁家丁制，本质上都是承认卫所死亡后的替代品。土木堡之变（1449）不过是这个悖论的第一次总爆发：五十万大军的中枢，实际掌握在一个不懂军事的宦官手里。</w:t>
      </w:r>
    </w:p>
    <w:bookmarkEnd w:id="25"/>
    <w:bookmarkStart w:id="26" w:name="二火器与代差领先者的掉队"/>
    <w:p>
      <w:pPr>
        <w:pStyle w:val="Heading3"/>
      </w:pPr>
      <w:r>
        <w:t xml:space="preserve">二、火器与代差：领先者的掉队</w:t>
      </w:r>
    </w:p>
    <w:p>
      <w:pPr>
        <w:pStyle w:val="FirstParagraph"/>
      </w:pPr>
      <w:r>
        <w:t xml:space="preserve">明朝曾是世界火器前沿：神机营是世界最早的成建制火器部队，永乐年间已列装火铳；到宁远之战（1626），红夷大炮重创后金，努尔哈赤”自二十五岁起兵以来，唯此一败”。但安崔（Andrade, 2016）的”火药时代”研究揭示了一个残酷规律：火器技术的持续创新需要</w:t>
      </w:r>
      <w:r>
        <w:rPr>
          <w:bCs/>
          <w:b/>
        </w:rPr>
        <w:t xml:space="preserve">高频实战竞争</w:t>
      </w:r>
      <w:r>
        <w:t xml:space="preserve">——欧洲因列国混战而军备竞赛不断，明朝则在主要对手衰落后陷入长期”和平懈怠”。当后金在辽东的生存压力下快速学会铸炮、编练重步兵，明朝的创新机器却因财政枯竭（铸炮要钱）与政治猜忌（能臣被杀）而熄火。斯沃普（Swope, 2014）对 1618–1644 年明军崩溃的专论证实：明朝输掉的不是某场战役，而是</w:t>
      </w:r>
      <w:r>
        <w:rPr>
          <w:bCs/>
          <w:b/>
        </w:rPr>
        <w:t xml:space="preserve">军事创新的组织能力</w:t>
      </w:r>
      <w:r>
        <w:t xml:space="preserve">——武器尚可买，体系买不来。</w:t>
      </w:r>
    </w:p>
    <w:bookmarkEnd w:id="26"/>
    <w:bookmarkStart w:id="27" w:name="三士兵的视角欠饷哗变与倒戈"/>
    <w:p>
      <w:pPr>
        <w:pStyle w:val="Heading3"/>
      </w:pPr>
      <w:r>
        <w:t xml:space="preserve">三、士兵的视角：欠饷、哗变与倒戈</w:t>
      </w:r>
    </w:p>
    <w:p>
      <w:pPr>
        <w:pStyle w:val="FirstParagraph"/>
      </w:pPr>
      <w:r>
        <w:t xml:space="preserve">宏观的衰变曲线，落在士兵身上是具体的生存问题。书中至少记录了三起改变局势的兵变：宁远兵变（1628），辽东将士因四个月无饷集体哗变，巡抚毕自肃自缢；吴桥兵变（1631），孔有德因一只鸡的军纪冲突反叛，带着明朝最精锐的火炮技术与工匠渡海降金——后金的攻城能力自此质变；松锦之战后大批边军倒戈，成为农民军与清军的主力兵源。</w:t>
      </w:r>
      <w:r>
        <w:rPr>
          <w:bCs/>
          <w:b/>
        </w:rPr>
        <w:t xml:space="preserve">每一场哗变的导火索都是欠饷，每一次欠饷的根源都是财政，每一分财政的窟窿都通向祖制锁定下的税制</w:t>
      </w:r>
      <w:r>
        <w:t xml:space="preserve">。斯沃普（Swope, 2014）把这概括为”内部瓦解先于外部征服”；顾诚（1984）的考实进一步表明，李自成”迎闯王，不纳粮”的口号之所以势如破竹，正因为它许诺免除的，恰是明朝自己加上的三饷。军事学的显微镜下，明朝最忠诚的军队和它最致命的敌人，原本是同一批人。</w:t>
      </w:r>
    </w:p>
    <w:bookmarkEnd w:id="27"/>
    <w:bookmarkStart w:id="28" w:name="四露梁海战一个体系最后的协同"/>
    <w:p>
      <w:pPr>
        <w:pStyle w:val="Heading3"/>
      </w:pPr>
      <w:r>
        <w:t xml:space="preserve">四、露梁海战：一个体系最后的协同</w:t>
      </w:r>
    </w:p>
    <w:p>
      <w:pPr>
        <w:pStyle w:val="FirstParagraph"/>
      </w:pPr>
      <w:r>
        <w:t xml:space="preserve">明军衰变叙事里唯一的例外时刻，发生在海外。1598 年冬，朝鲜之役收官阶段，中朝联军在露梁海设伏：书中对部署写得极细——副总兵邓子龙”率三千人，埋伏于露梁海北侧”，朝鲜水军统制使李舜臣”率五千人”埋伏在南侧，陈璘居中调度，专候小西行长的撤退船队进入这条”只有两条水路”的狭长海道。这是全书少有的、指挥体系完全正常运转的战例：两支语言不通的军队在统一的战役意图下各就各位，老兵邓子龙年逾七十仍登船近战，最终与李舜臣一同战死在夹击合围成功的那一刻。斯沃普（Swope, 2009）对这场战争的复原显示，露梁的协同并非天降，而是七年战争中逐步磨合出的联合指挥机制——明朝的册封与经略框架加上朝鲜的水师本土优势，恰好补齐了彼此的短板。它的对照价值正在于此：</w:t>
      </w:r>
      <w:r>
        <w:rPr>
          <w:bCs/>
          <w:b/>
        </w:rPr>
        <w:t xml:space="preserve">同一个明军系统，在官僚督办体制下打出蔚山的惨败，在充分授权的联合指挥下打出露梁的歼灭战</w:t>
      </w:r>
      <w:r>
        <w:t xml:space="preserve">。斯沃普（Swope, 2014）把明军的最终崩溃归因于体系而非兵员，露梁是这一论断最好的反证与注脚——武器、士兵、勇气都在，缺的只是让它们协同的制度环境。</w:t>
      </w:r>
    </w:p>
    <w:bookmarkEnd w:id="28"/>
    <w:bookmarkStart w:id="29" w:name="五防御链的断裂内部瓦解先于外部征服"/>
    <w:p>
      <w:pPr>
        <w:pStyle w:val="Heading3"/>
      </w:pPr>
      <w:r>
        <w:t xml:space="preserve">五、防御链的断裂：内部瓦解先于外部征服</w:t>
      </w:r>
    </w:p>
    <w:p>
      <w:pPr>
        <w:pStyle w:val="FirstParagraph"/>
      </w:pPr>
      <w:r>
        <w:t xml:space="preserve">明末的防御链是一条多环节串联系统：卫所—边镇—京营，任何一节失效都会传导全局。事实是三节同时烂：卫所空壳、边镇欠饷哗变（宁远兵变）、京营名册半空。松锦之战（1641）洪承畴十三万大军覆没，是防御链的总断裂；其后李自成一路收编的，正是欠饷多年的边军降卒。顾诚（1984）的《明末农民战争史》以翔实考据证明：</w:t>
      </w:r>
      <w:r>
        <w:rPr>
          <w:bCs/>
          <w:b/>
        </w:rPr>
        <w:t xml:space="preserve">打败明朝的军队，主体恰恰是明朝自己欠饷、解散、逼反的士兵</w:t>
      </w:r>
      <w:r>
        <w:t xml:space="preserve">。军事学的结论冷峻而清晰：明亡于军事，而军事亡于财政与政治——316 件军事事件的终点，站在户部的账本上。</w:t>
      </w:r>
    </w:p>
    <w:bookmarkEnd w:id="29"/>
    <w:bookmarkEnd w:id="30"/>
    <w:bookmarkStart w:id="31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军事学的视角看，从卫所到辽东，明代防御链的衰变展示了制度退化的典型路径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1"/>
    <w:bookmarkStart w:id="32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军事学为透镜，借由明史知识图谱的量化骨架，重新审视了《明朝那些事儿》关于「防御链的衰变：从卫所到辽东」的论述。分析表明，从卫所到辽东，明代防御链的衰变展示了制度退化的典型路径。这提示我们：通俗历史叙事与计算人文并非对立，而是可以相互校勘的两类证据——前者提供可被感知的经验，后者提供可被检验的结构。</w:t>
      </w:r>
    </w:p>
    <w:bookmarkEnd w:id="32"/>
    <w:bookmarkStart w:id="33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de Bary, Wm. T. (1981).</w:t>
      </w:r>
      <w:r>
        <w:t xml:space="preserve"> </w:t>
      </w:r>
      <w:r>
        <w:rPr>
          <w:iCs/>
          <w:i/>
        </w:rPr>
        <w:t xml:space="preserve">Neo-Confucian orthodoxy and the learning of the mind-and-heart</w:t>
      </w:r>
      <w:r>
        <w:t xml:space="preserve">. Columbia University Press.</w:t>
      </w:r>
    </w:p>
    <w:p>
      <w:pPr>
        <w:numPr>
          <w:ilvl w:val="0"/>
          <w:numId w:val="1002"/>
        </w:numPr>
        <w:pStyle w:val="Compact"/>
      </w:pPr>
      <w:r>
        <w:t xml:space="preserve">Lorge, P. (2005).</w:t>
      </w:r>
      <w:r>
        <w:t xml:space="preserve"> </w:t>
      </w:r>
      <w:r>
        <w:rPr>
          <w:iCs/>
          <w:i/>
        </w:rPr>
        <w:t xml:space="preserve">War, Politics and Society in Early Modern China, 900–1795</w:t>
      </w:r>
      <w:r>
        <w:t xml:space="preserve">. Routledge.</w:t>
      </w:r>
    </w:p>
    <w:p>
      <w:pPr>
        <w:numPr>
          <w:ilvl w:val="0"/>
          <w:numId w:val="1002"/>
        </w:numPr>
        <w:pStyle w:val="Compact"/>
      </w:pPr>
      <w:r>
        <w:t xml:space="preserve">Andrade, T. (2016).</w:t>
      </w:r>
      <w:r>
        <w:t xml:space="preserve"> </w:t>
      </w:r>
      <w:r>
        <w:rPr>
          <w:iCs/>
          <w:i/>
        </w:rPr>
        <w:t xml:space="preserve">The Gunpowder Age: China, Military Innovation, and the Rise of the West in World History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Swope, K. M. (2009).</w:t>
      </w:r>
      <w:r>
        <w:t xml:space="preserve"> </w:t>
      </w:r>
      <w:r>
        <w:rPr>
          <w:iCs/>
          <w:i/>
        </w:rPr>
        <w:t xml:space="preserve">A dragon’s head and a serpent’s tail: Ming China and the first great East Asian war, 1592–1598</w:t>
      </w:r>
      <w:r>
        <w:t xml:space="preserve">. University of Oklahoma Press.</w:t>
      </w:r>
    </w:p>
    <w:p>
      <w:pPr>
        <w:numPr>
          <w:ilvl w:val="0"/>
          <w:numId w:val="1002"/>
        </w:numPr>
        <w:pStyle w:val="Compact"/>
      </w:pPr>
      <w:r>
        <w:t xml:space="preserve">Swope, K. M. (2014).</w:t>
      </w:r>
      <w:r>
        <w:t xml:space="preserve"> </w:t>
      </w:r>
      <w:r>
        <w:rPr>
          <w:iCs/>
          <w:i/>
        </w:rPr>
        <w:t xml:space="preserve">The Military Collapse of China’s Ming Dynasty, 1618–44</w:t>
      </w:r>
      <w:r>
        <w:t xml:space="preserve">. Routledge.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2026-10-01T06:51:29Z</dcterms:created>
  <dcterms:modified xsi:type="dcterms:W3CDTF">2026-10-01T06:51:29Z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