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难言之遗产圣地巡礼的策展伦理"/>
    <w:p>
      <w:pPr>
        <w:pStyle w:val="Heading1"/>
      </w:pPr>
      <w:r>
        <w:t xml:space="preserve">难言之遗产：圣地巡礼的策展伦理</w:t>
      </w:r>
    </w:p>
    <w:p>
      <w:pPr>
        <w:pStyle w:val="FirstParagraph"/>
      </w:pPr>
      <w:r>
        <w:rPr>
          <w:bCs/>
          <w:b/>
        </w:rPr>
        <w:t xml:space="preserve">Difficult Heritage: Curation Ethics of a Ming Pilgrimage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本报告抽取出 581 处地点、已定位 540 处（92.9%），其中古战场 65、故居 16、关隘 11、起航地 10、遗址陵 8、祠堂 6、纪念碑 1——这本身就是一份”记忆地理”清单。博物馆学的视角提醒我们：这些地点不是中立的旅游坐标，而是麦克唐纳（Macdonald, 2009）所称的”难言之遗产”（difficult heritage）：同时承载荣耀与创伤，召唤敬畏也召唤伤痛。如何面对它们，是每个巡礼者都会遇到的真实问题。</w:t>
      </w:r>
    </w:p>
    <w:p>
      <w:pPr>
        <w:pStyle w:val="BodyText"/>
      </w:pPr>
      <w:r>
        <w:t xml:space="preserve">本文从博物馆学视角，围绕「难言之遗产：圣地巡礼的策展伦理」这一命题，依次探讨：一、胜利与绝望相距数里：德胜门与煤山、二、冷点优先：被遗忘处才是历史的肌理、三、合法的杀人地：左顺门的无人标记、四、从参观到对话：巡礼的方法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难言之遗产：圣地巡礼的策展伦理</w:t>
      </w:r>
      <w:r>
        <w:t xml:space="preserve">”</w:t>
      </w:r>
      <w:r>
        <w:t xml:space="preserve"> </w:t>
      </w:r>
      <w:r>
        <w:t xml:space="preserve">from the standpoint of Museum Studies,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难言之遗产；圣地巡礼；策展伦理；记忆地理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difficult heritage; pilgrimage; curation ethics; memory geography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当历史地点同时承载荣耀与创伤，’如何策展’便成为博物馆伦理的核心难题。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本文即从博物馆学（Museum Studies）的视角，重新审视这部文本中关于「难言之遗产：圣地巡礼的策展伦理」的论述，并以知识图谱提供的量化证据对其加以检验。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本文以博物馆学的理论透镜解读上述结构化数据：将书中的叙事命题转化为可检验的量化陈述，并以事件类别分布、关系网络度中心性等指标作为证据。所有数字均直接来自知识图谱。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本报告抽取出 581 处地点、已定位 540 处（92.9%），其中古战场 65、故居 16、关隘 11、起航地 10、遗址陵 8、祠堂 6、纪念碑 1——这本身就是一份”记忆地理”清单。博物馆学的视角提醒我们：这些地点不是中立的旅游坐标，而是麦克唐纳（Macdonald, 2009）所称的</w:t>
      </w:r>
      <w:r>
        <w:rPr>
          <w:bCs/>
          <w:b/>
        </w:rPr>
        <w:t xml:space="preserve">“</w:t>
      </w:r>
      <w:r>
        <w:rPr>
          <w:bCs/>
          <w:b/>
        </w:rPr>
        <w:t xml:space="preserve">难言之遗产</w:t>
      </w:r>
      <w:r>
        <w:rPr>
          <w:bCs/>
          <w:b/>
        </w:rPr>
        <w:t xml:space="preserve">”</w:t>
      </w:r>
      <w:r>
        <w:rPr>
          <w:bCs/>
          <w:b/>
        </w:rPr>
        <w:t xml:space="preserve">（difficult heritage）</w:t>
      </w:r>
      <w:r>
        <w:t xml:space="preserve">：同时承载荣耀与创伤，召唤敬畏也召唤伤痛。如何面对它们，是每个巡礼者都会遇到的真实问题。</w:t>
      </w:r>
    </w:p>
    <w:bookmarkStart w:id="25" w:name="一胜利与绝望相距数里德胜门与煤山"/>
    <w:p>
      <w:pPr>
        <w:pStyle w:val="Heading3"/>
      </w:pPr>
      <w:r>
        <w:t xml:space="preserve">一、胜利与绝望相距数里：德胜门与煤山</w:t>
      </w:r>
    </w:p>
    <w:p>
      <w:pPr>
        <w:pStyle w:val="FirstParagraph"/>
      </w:pPr>
      <w:r>
        <w:t xml:space="preserve">书中最动人的两个地理坐标，恰好构成一组对位。北京保卫战前夜，于谦”穿上了那套沉重的铠甲，离开了他的住所，向德胜门走去”——那是力挽狂澜的起点，今天仍是可至的城门。145 年后，崇祯”登上煤山（今天叫做景山）</w:t>
      </w:r>
      <w:r>
        <w:t xml:space="preserve">“</w:t>
      </w:r>
      <w:r>
        <w:t xml:space="preserve">，留下</w:t>
      </w:r>
      <w:r>
        <w:t xml:space="preserve">”</w:t>
      </w:r>
      <w:r>
        <w:t xml:space="preserve">诸臣误朕……勿伤百姓一人”的遗言自缢——两处相距不过数里，却分别是”挽狂澜”与”死社稷”的纪念碑。罗根与里维斯（Logan &amp; Reeves, 2009）在研究”痛苦与耻辱之地”时主张：公共记忆应当诚实纳入失败与创伤，而非只展演胜利。按这个标准，一条理想的明代巡礼路线不该只有德胜门的豪迈，也应该在景山东麓停留——让参观者同时持有荣耀与绝望，才是对历史完整的诚实。</w:t>
      </w:r>
    </w:p>
    <w:bookmarkEnd w:id="25"/>
    <w:bookmarkStart w:id="26" w:name="二冷点优先被遗忘处才是历史的肌理"/>
    <w:p>
      <w:pPr>
        <w:pStyle w:val="Heading3"/>
      </w:pPr>
      <w:r>
        <w:t xml:space="preserve">二、冷点优先：被遗忘处才是历史的肌理</w:t>
      </w:r>
    </w:p>
    <w:p>
      <w:pPr>
        <w:pStyle w:val="FirstParagraph"/>
      </w:pPr>
      <w:r>
        <w:t xml:space="preserve">数据里藏着一个巡礼学判断：全书祠堂仅 6 处、纪念碑 1 处，绝大多数地点只是”地名”级泛称。这意味着</w:t>
      </w:r>
      <w:r>
        <w:rPr>
          <w:bCs/>
          <w:b/>
        </w:rPr>
        <w:t xml:space="preserve">真正的记忆现场大量处于无人认领状态</w:t>
      </w:r>
      <w:r>
        <w:t xml:space="preserve">——被遗忘的战场（鹞儿岭、郑村坝）、被平毁的宅第、被改名的街巷。史密斯（Smith, 2006）指出”遗产”不是地点的天然属性，而是被建构的使用方式；基尔斯亨布雷特-金布利特（Kirshenblatt-Gimblett, 1998）则警告，遗产化往往生产”可消费的差异”，把历史打磨成纪念品。故宫与十三陵已被过度展演，而土木堡的旷野、西市的刑场旧址、安乐堂的胡同——这些冷点保留了历史的粗糙与未完成性。冷点巡礼不是猎奇，而是拒绝让历史变成只需要付费与合影的布景。</w:t>
      </w:r>
    </w:p>
    <w:bookmarkEnd w:id="26"/>
    <w:bookmarkStart w:id="27" w:name="三合法的杀人地左顺门的无人标记"/>
    <w:p>
      <w:pPr>
        <w:pStyle w:val="Heading3"/>
      </w:pPr>
      <w:r>
        <w:t xml:space="preserve">三、合法的杀人地：左顺门的无人标记</w:t>
      </w:r>
    </w:p>
    <w:p>
      <w:pPr>
        <w:pStyle w:val="FirstParagraph"/>
      </w:pPr>
      <w:r>
        <w:t xml:space="preserve">书中有一段极易被游客错过的”遗产考古”：明代的宫城地图上，左顺门（今协和门）是一个”打死人不用负责任”的特殊地点。作者写嘉靖大礼议时先补了一段前史——七十多年前的正统年间，王振的三个同党在此被大臣群殴致死，</w:t>
      </w:r>
      <w:r>
        <w:t xml:space="preserve">“</w:t>
      </w:r>
      <w:r>
        <w:t xml:space="preserve">所有行凶者全部无罪释放</w:t>
      </w:r>
      <w:r>
        <w:t xml:space="preserve">”</w:t>
      </w:r>
      <w:r>
        <w:t xml:space="preserve">；于是大礼议时，二百余名大臣选在这里跪哭请愿， 因为他们知道，这里也是皇帝选定的杖杀场，十七人当场毙命。这个细节对巡礼者的含义是：一块没有任何标记的门址，叠加了两场方向相反的暴力——臣杀宦官与皇杀臣子，用的是同一块”法外之地”。罗根与里维斯（Logan &amp; Reeves, 2009）所说的”痛苦之地”大多好歹有一块纪念碑，而左顺门连标记都没有；史密斯（Smith, 2006）的论断在此显出锋利——遗产的意义完全取决于使用者，无人讲述的暴力现场，就会退化成一张随手指过去的照片背景。</w:t>
      </w:r>
      <w:r>
        <w:rPr>
          <w:bCs/>
          <w:b/>
        </w:rPr>
        <w:t xml:space="preserve">冷点巡礼的本质，是把这类被地图抹去的记忆重新放回地图</w:t>
      </w:r>
      <w:r>
        <w:t xml:space="preserve">。</w:t>
      </w:r>
    </w:p>
    <w:bookmarkEnd w:id="27"/>
    <w:bookmarkStart w:id="28" w:name="四从参观到对话巡礼的方法"/>
    <w:p>
      <w:pPr>
        <w:pStyle w:val="Heading3"/>
      </w:pPr>
      <w:r>
        <w:t xml:space="preserve">四、从参观到对话：巡礼的方法</w:t>
      </w:r>
    </w:p>
    <w:p>
      <w:pPr>
        <w:pStyle w:val="FirstParagraph"/>
      </w:pPr>
      <w:r>
        <w:t xml:space="preserve">霍尔普-格林希尔（Hooper-Greenhill, 2000）的视觉文化阐释方法为冷点提供了转化路径：把地点当作可对话的”展品”，而非单向解读的”文物”。具体到本报告的做法是——每个地点卡都保留来源章节、坐标核验状态与书中原文，巡礼者站在现场时可以同时查阅”书里怎么写”与”数据怎么说”。沃尔什（Walsh, 1992）对新博物馆学的概括在此适用：好的历史阐释不提供结论，而提供</w:t>
      </w:r>
      <w:r>
        <w:rPr>
          <w:bCs/>
          <w:b/>
        </w:rPr>
        <w:t xml:space="preserve">在现场与自己辩论的机会</w:t>
      </w:r>
      <w:r>
        <w:t xml:space="preserve">。当你站在德胜门想到于谦，站在景山想到崇祯，站在西市想到袁崇焕——三个相距不过数公里的地点，就完成了三次关于忠诚、责任与制度的历史对话。这正是本项目把”圣地巡礼”作为核心使用场景的理由。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博物馆学的视角看，当历史地点同时承载荣耀与创伤，’如何策展’便成为博物馆伦理的核心难题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博物馆学为透镜，借由明史知识图谱的量化骨架，重新审视了《明朝那些事儿》关于「难言之遗产：圣地巡礼的策展伦理」的论述。分析表明，当历史地点同时承载荣耀与创伤，’如何策展’便成为博物馆伦理的核心难题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Hooper-Greenhill, E. (2000).</w:t>
      </w:r>
      <w:r>
        <w:t xml:space="preserve"> </w:t>
      </w:r>
      <w:r>
        <w:rPr>
          <w:iCs/>
          <w:i/>
        </w:rPr>
        <w:t xml:space="preserve">Museums and the interpretation of visual culture</w:t>
      </w:r>
      <w:r>
        <w:t xml:space="preserve">. Routledge.</w:t>
      </w:r>
    </w:p>
    <w:p>
      <w:pPr>
        <w:numPr>
          <w:ilvl w:val="0"/>
          <w:numId w:val="1002"/>
        </w:numPr>
        <w:pStyle w:val="Compact"/>
      </w:pPr>
      <w:r>
        <w:t xml:space="preserve">Kirshenblatt-Gimblett, B. (1998).</w:t>
      </w:r>
      <w:r>
        <w:t xml:space="preserve"> </w:t>
      </w:r>
      <w:r>
        <w:rPr>
          <w:iCs/>
          <w:i/>
        </w:rPr>
        <w:t xml:space="preserve">Destination culture: Tourism, museums, and heritage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Logan, W., &amp; Reeves, K. (Eds.). (2009).</w:t>
      </w:r>
      <w:r>
        <w:t xml:space="preserve"> </w:t>
      </w:r>
      <w:r>
        <w:rPr>
          <w:iCs/>
          <w:i/>
        </w:rPr>
        <w:t xml:space="preserve">Places of pain and shame: Dealing with difficult heritage</w:t>
      </w:r>
      <w:r>
        <w:t xml:space="preserve">. Routledge.</w:t>
      </w:r>
    </w:p>
    <w:p>
      <w:pPr>
        <w:numPr>
          <w:ilvl w:val="0"/>
          <w:numId w:val="1002"/>
        </w:numPr>
        <w:pStyle w:val="Compact"/>
      </w:pPr>
      <w:r>
        <w:t xml:space="preserve">Smith, L. (2006).</w:t>
      </w:r>
      <w:r>
        <w:t xml:space="preserve"> </w:t>
      </w:r>
      <w:r>
        <w:rPr>
          <w:iCs/>
          <w:i/>
        </w:rPr>
        <w:t xml:space="preserve">Uses of heritage</w:t>
      </w:r>
      <w:r>
        <w:t xml:space="preserve">. Routledge.</w:t>
      </w:r>
    </w:p>
    <w:p>
      <w:pPr>
        <w:numPr>
          <w:ilvl w:val="0"/>
          <w:numId w:val="1002"/>
        </w:numPr>
        <w:pStyle w:val="Compact"/>
      </w:pPr>
      <w:r>
        <w:t xml:space="preserve">Macdonald, S. (2009).</w:t>
      </w:r>
      <w:r>
        <w:t xml:space="preserve"> </w:t>
      </w:r>
      <w:r>
        <w:rPr>
          <w:iCs/>
          <w:i/>
        </w:rPr>
        <w:t xml:space="preserve">Difficult Heritage: Negotiating the Nazi Past in Nuremberg and Beyond</w:t>
      </w:r>
      <w:r>
        <w:t xml:space="preserve">. Routledge.</w:t>
      </w:r>
    </w:p>
    <w:p>
      <w:pPr>
        <w:numPr>
          <w:ilvl w:val="0"/>
          <w:numId w:val="1002"/>
        </w:numPr>
        <w:pStyle w:val="Compact"/>
      </w:pPr>
      <w:r>
        <w:t xml:space="preserve">Walsh, K. (1992).</w:t>
      </w:r>
      <w:r>
        <w:t xml:space="preserve"> </w:t>
      </w:r>
      <w:r>
        <w:rPr>
          <w:iCs/>
          <w:i/>
        </w:rPr>
        <w:t xml:space="preserve">The Representation of the Past: Museums and Heritage in the Post-Modern World</w:t>
      </w:r>
      <w:r>
        <w:t xml:space="preserve">. Routledge.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2026-10-01T06:51:16Z</dcterms:created>
  <dcterms:modified xsi:type="dcterms:W3CDTF">2026-10-01T06:51:16Z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