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历史如何被讲述修辞英雄化与沉默"/>
    <w:p>
      <w:pPr>
        <w:pStyle w:val="Heading1"/>
      </w:pPr>
      <w:r>
        <w:t xml:space="preserve">历史如何被讲述：修辞、英雄化与沉默</w:t>
      </w:r>
    </w:p>
    <w:p>
      <w:pPr>
        <w:pStyle w:val="FirstParagraph"/>
      </w:pPr>
      <w:r>
        <w:rPr>
          <w:bCs/>
          <w:b/>
        </w:rPr>
        <w:t xml:space="preserve">How History Is Told: Rhetoric, Heroization, and Silence</w:t>
      </w:r>
    </w:p>
    <w:p>
      <w:pPr>
        <w:pStyle w:val="BodyText"/>
      </w:pPr>
      <w:r>
        <w:rPr>
          <w:iCs/>
          <w:i/>
        </w:rPr>
        <w:t xml:space="preserve">明史知识图谱研究组（Ming Knowledge Graph Project）</w:t>
      </w:r>
    </w:p>
    <w:p>
      <w:pPr>
        <w:pStyle w:val="BodyText"/>
      </w:pPr>
      <w:r>
        <w:rPr>
          <w:bCs/>
          <w:b/>
        </w:rPr>
        <w:t xml:space="preserve">摘要：</w:t>
      </w:r>
      <w:r>
        <w:t xml:space="preserve"> </w:t>
      </w:r>
      <w:r>
        <w:t xml:space="preserve">《明朝那些事儿》本身是本报告的第一个分析对象。它把编年史料改写为带强烈作者声部的通俗叙事，三十年来畅销不衰——这桩”史学传播事件”值得用叙事学认真解剖：它做对了什么？遮蔽了什么？</w:t>
      </w:r>
    </w:p>
    <w:p>
      <w:pPr>
        <w:pStyle w:val="BodyText"/>
      </w:pPr>
      <w:r>
        <w:t xml:space="preserve">本文从叙事学视角，围绕「历史如何被讲述：修辞、英雄化与沉默」这一命题，依次探讨：一、情节化与隐含作者：通俗史学的修辞装置、二、英雄旅程：王守仁与于谦的叙事弧、三、沉默的结构：每一次讲述都是一次不讲、四、结尾的偏航：徐霞客与全书的主题宣告。研究借助明史知识图谱的量化骨架，表明通俗历史叙事与计算人文可相互校勘。</w:t>
      </w:r>
    </w:p>
    <w:p>
      <w:pPr>
        <w:pStyle w:val="BodyText"/>
      </w:pPr>
      <w:r>
        <w:rPr>
          <w:bCs/>
          <w:b/>
        </w:rPr>
        <w:t xml:space="preserve">Abstract:</w:t>
      </w:r>
      <w:r>
        <w:t xml:space="preserve"> </w:t>
      </w:r>
      <w:r>
        <w:t xml:space="preserve">This paper examines the claim that</w:t>
      </w:r>
      <w:r>
        <w:t xml:space="preserve"> </w:t>
      </w:r>
      <w:r>
        <w:t xml:space="preserve">“</w:t>
      </w:r>
      <w:r>
        <w:t xml:space="preserve">历史如何被讲述：修辞、英雄化与沉默</w:t>
      </w:r>
      <w:r>
        <w:t xml:space="preserve">”</w:t>
      </w:r>
      <w:r>
        <w:t xml:space="preserve"> </w:t>
      </w:r>
      <w:r>
        <w:t xml:space="preserve">from the standpoint of Narrative Theory, using the structured Ming Knowledge Graph — built from Dangnian Mingyue’s popular history</w:t>
      </w:r>
      <w:r>
        <w:t xml:space="preserve"> </w:t>
      </w:r>
      <w:r>
        <w:rPr>
          <w:iCs/>
          <w:i/>
        </w:rPr>
        <w:t xml:space="preserve">Ming Dynasty Those Things</w:t>
      </w:r>
      <w:r>
        <w:t xml:space="preserve"> </w:t>
      </w:r>
      <w:r>
        <w:t xml:space="preserve">(《明朝那些儿》, 2006–2009) — as its corpus. Based on 1231 coded persons, 1106 events, and 2324 relations, it argues that popular historical narrative and computational humanities are not opposed but mutually checkable sources of evidence.</w:t>
      </w:r>
    </w:p>
    <w:p>
      <w:pPr>
        <w:pStyle w:val="BodyText"/>
      </w:pPr>
      <w:r>
        <w:rPr>
          <w:bCs/>
          <w:b/>
        </w:rPr>
        <w:t xml:space="preserve">关键词：</w:t>
      </w:r>
      <w:r>
        <w:t xml:space="preserve"> </w:t>
      </w:r>
      <w:r>
        <w:t xml:space="preserve">历史修辞；英雄化；沉默；集体记忆</w:t>
      </w:r>
    </w:p>
    <w:p>
      <w:pPr>
        <w:pStyle w:val="BodyText"/>
      </w:pPr>
      <w:r>
        <w:rPr>
          <w:bCs/>
          <w:b/>
        </w:rPr>
        <w:t xml:space="preserve">Keywords:</w:t>
      </w:r>
      <w:r>
        <w:t xml:space="preserve"> </w:t>
      </w:r>
      <w:r>
        <w:t xml:space="preserve">historical rhetoric; heroization; silence; collective memory</w:t>
      </w:r>
    </w:p>
    <w:p>
      <w:r>
        <w:pict>
          <v:rect style="width:0;height:1.5pt" o:hralign="center" o:hrstd="t" o:hr="t"/>
        </w:pict>
      </w:r>
    </w:p>
    <w:bookmarkStart w:id="20" w:name="引言"/>
    <w:p>
      <w:pPr>
        <w:pStyle w:val="Heading2"/>
      </w:pPr>
      <w:r>
        <w:t xml:space="preserve">1. 引言</w:t>
      </w:r>
    </w:p>
    <w:p>
      <w:pPr>
        <w:pStyle w:val="FirstParagraph"/>
      </w:pPr>
      <w:r>
        <w:t xml:space="preserve">历史如何被讲述，与历史’发生了什么’同样重要；修辞、英雄化与沉默共同塑造了集体记忆。</w:t>
      </w:r>
    </w:p>
    <w:p>
      <w:pPr>
        <w:pStyle w:val="BodyText"/>
      </w:pPr>
      <w:r>
        <w:t xml:space="preserve">《明朝那些事儿》（当年明月，2006–2009）长期被视为大众读物。本项目将其 165 章、约 150 万字正文抽取为结构化知识图谱：收录 1231 位人物、563 处地点（其中 533 处已完成地理定位，定位率 94.7%）、1106 件事件、2324 条人物/实体关系，并覆盖 17 位明代皇帝在位纪年与 165 条人物年谱。这一语料使书中原本“点到即止”的概念（如派系、同年、乡党）第一次成为可计算的变量。</w:t>
      </w:r>
    </w:p>
    <w:p>
      <w:pPr>
        <w:pStyle w:val="BodyText"/>
      </w:pPr>
      <w:r>
        <w:t xml:space="preserve">本文即从叙事学（Narrative Theory）的视角，重新审视这部文本中关于「历史如何被讲述：修辞、英雄化与沉默」的论述，并以知识图谱提供的量化证据对其加以检验。</w:t>
      </w:r>
    </w:p>
    <w:bookmarkEnd w:id="20"/>
    <w:bookmarkStart w:id="24" w:name="数据与方法"/>
    <w:p>
      <w:pPr>
        <w:pStyle w:val="Heading2"/>
      </w:pPr>
      <w:r>
        <w:t xml:space="preserve">2. 数据与方法</w:t>
      </w:r>
    </w:p>
    <w:bookmarkStart w:id="21" w:name="语料来源"/>
    <w:p>
      <w:pPr>
        <w:pStyle w:val="Heading3"/>
      </w:pPr>
      <w:r>
        <w:t xml:space="preserve">2.1 语料来源</w:t>
      </w:r>
    </w:p>
    <w:p>
      <w:pPr>
        <w:pStyle w:val="FirstParagraph"/>
      </w:pPr>
      <w:r>
        <w:t xml:space="preserve">《明朝那些事儿》七卷本共 165 章，以编年体与人物传记交织的方式叙述明朝 276 年（1368–1644）史事。抽取流程为：章节切分 → 事实结构化（人物、地点、事件、关系、年谱）→ 大模型辅助抽取 → 人工校勘与去重，所有数字均可与原始文本逐条核对。</w:t>
      </w:r>
    </w:p>
    <w:bookmarkEnd w:id="21"/>
    <w:bookmarkStart w:id="22" w:name="知识图谱结构"/>
    <w:p>
      <w:pPr>
        <w:pStyle w:val="Heading3"/>
      </w:pPr>
      <w:r>
        <w:t xml:space="preserve">2.2 知识图谱结构</w:t>
      </w:r>
    </w:p>
    <w:p>
      <w:pPr>
        <w:numPr>
          <w:ilvl w:val="0"/>
          <w:numId w:val="1001"/>
        </w:numPr>
        <w:pStyle w:val="Compact"/>
      </w:pPr>
      <w:r>
        <w:rPr>
          <w:bCs/>
          <w:b/>
        </w:rPr>
        <w:t xml:space="preserve">人物（characters）</w:t>
      </w:r>
      <w:r>
        <w:t xml:space="preserve">：1231 条，含势力、官职、籍贯、科举、别名等属性；</w:t>
      </w:r>
    </w:p>
    <w:p>
      <w:pPr>
        <w:numPr>
          <w:ilvl w:val="0"/>
          <w:numId w:val="1001"/>
        </w:numPr>
        <w:pStyle w:val="Compact"/>
      </w:pPr>
      <w:r>
        <w:rPr>
          <w:bCs/>
          <w:b/>
        </w:rPr>
        <w:t xml:space="preserve">地点（locations）</w:t>
      </w:r>
      <w:r>
        <w:t xml:space="preserve">：563 条，其中 533 条完成经纬度定位（94.7%）；</w:t>
      </w:r>
    </w:p>
    <w:p>
      <w:pPr>
        <w:numPr>
          <w:ilvl w:val="0"/>
          <w:numId w:val="1001"/>
        </w:numPr>
        <w:pStyle w:val="Compact"/>
      </w:pPr>
      <w:r>
        <w:rPr>
          <w:bCs/>
          <w:b/>
        </w:rPr>
        <w:t xml:space="preserve">事件（events）</w:t>
      </w:r>
      <w:r>
        <w:t xml:space="preserve">：1106 条，按类别标注（政治斗争 365、军事战争 316、人事任免 77、案件刑狱 75 等）；</w:t>
      </w:r>
    </w:p>
    <w:p>
      <w:pPr>
        <w:numPr>
          <w:ilvl w:val="0"/>
          <w:numId w:val="1001"/>
        </w:numPr>
        <w:pStyle w:val="Compact"/>
      </w:pPr>
      <w:r>
        <w:rPr>
          <w:bCs/>
          <w:b/>
        </w:rPr>
        <w:t xml:space="preserve">关系（relations）</w:t>
      </w:r>
      <w:r>
        <w:t xml:space="preserve">：2324 条，含君臣从属 397、敌对冲突 321、政治攻讦 193、亲属 185 等；</w:t>
      </w:r>
    </w:p>
    <w:p>
      <w:pPr>
        <w:numPr>
          <w:ilvl w:val="0"/>
          <w:numId w:val="1001"/>
        </w:numPr>
        <w:pStyle w:val="Compact"/>
      </w:pPr>
      <w:r>
        <w:rPr>
          <w:bCs/>
          <w:b/>
        </w:rPr>
        <w:t xml:space="preserve">在位纪年（reigns）</w:t>
      </w:r>
      <w:r>
        <w:t xml:space="preserve">：17 位皇帝；</w:t>
      </w:r>
      <w:r>
        <w:rPr>
          <w:bCs/>
          <w:b/>
        </w:rPr>
        <w:t xml:space="preserve">年谱（lifespans）</w:t>
      </w:r>
      <w:r>
        <w:t xml:space="preserve">：165 条。</w:t>
      </w:r>
    </w:p>
    <w:tbl>
      <w:tblPr>
        <w:tblStyle w:val="FigureTable"/>
        <w:tblW w:type="auto" w:w="0"/>
        <w:tblLook w:firstRow="0" w:lastRow="0" w:firstColumn="0" w:lastColumn="0"/>
        <w:jc w:val="center"/>
      </w:tblPr>
      <w:tblGrid>
        <w:gridCol w:w="7920"/>
      </w:tblGrid>
      <w:tr>
        <w:tc>
          <w:tcPr/>
          <w:p>
            <w:pPr>
              <w:pStyle w:val="Compact"/>
              <w:jc w:val="center"/>
            </w:pPr>
            <w:r>
              <w:t xml:space="preserve">图1 事件类别分布</w:t>
            </w:r>
          </w:p>
        </w:tc>
      </w:tr>
    </w:tbl>
    <w:p>
      <w:pPr>
        <w:pStyle w:val="ImageCaption"/>
      </w:pPr>
      <w:r>
        <w:t xml:space="preserve">图1 事件类别分布</w:t>
      </w:r>
    </w:p>
    <w:tbl>
      <w:tblPr>
        <w:tblStyle w:val="FigureTable"/>
        <w:tblW w:type="auto" w:w="0"/>
        <w:tblLook w:firstRow="0" w:lastRow="0" w:firstColumn="0" w:lastColumn="0"/>
        <w:jc w:val="center"/>
      </w:tblPr>
      <w:tblGrid>
        <w:gridCol w:w="7920"/>
      </w:tblGrid>
      <w:tr>
        <w:tc>
          <w:tcPr/>
          <w:p>
            <w:pPr>
              <w:pStyle w:val="Compact"/>
              <w:jc w:val="center"/>
            </w:pPr>
            <w:r>
              <w:t xml:space="preserve">图2 关系类型分布</w:t>
            </w:r>
          </w:p>
        </w:tc>
      </w:tr>
    </w:tbl>
    <w:p>
      <w:pPr>
        <w:pStyle w:val="ImageCaption"/>
      </w:pPr>
      <w:r>
        <w:t xml:space="preserve">图2 关系类型分布</w:t>
      </w:r>
    </w:p>
    <w:tbl>
      <w:tblPr>
        <w:tblStyle w:val="FigureTable"/>
        <w:tblW w:type="auto" w:w="0"/>
        <w:tblLook w:firstRow="0" w:lastRow="0" w:firstColumn="0" w:lastColumn="0"/>
        <w:jc w:val="center"/>
      </w:tblPr>
      <w:tblGrid>
        <w:gridCol w:w="7920"/>
      </w:tblGrid>
      <w:tr>
        <w:tc>
          <w:tcPr/>
          <w:p>
            <w:pPr>
              <w:pStyle w:val="Compact"/>
              <w:jc w:val="center"/>
            </w:pPr>
            <w:r>
              <w:t xml:space="preserve">图3 关键人物度中心性 Top12</w:t>
            </w:r>
          </w:p>
        </w:tc>
      </w:tr>
    </w:tbl>
    <w:p>
      <w:pPr>
        <w:pStyle w:val="ImageCaption"/>
      </w:pPr>
      <w:r>
        <w:t xml:space="preserve">图3 关键人物度中心性 Top12</w:t>
      </w:r>
    </w:p>
    <w:bookmarkEnd w:id="22"/>
    <w:bookmarkStart w:id="23" w:name="分析方法"/>
    <w:p>
      <w:pPr>
        <w:pStyle w:val="Heading3"/>
      </w:pPr>
      <w:r>
        <w:t xml:space="preserve">2.3 分析方法</w:t>
      </w:r>
    </w:p>
    <w:p>
      <w:pPr>
        <w:pStyle w:val="FirstParagraph"/>
      </w:pPr>
      <w:r>
        <w:t xml:space="preserve">本文以叙事学的理论透镜解读上述结构化数据：将书中的叙事命题转化为可检验的量化陈述，并以事件类别分布、关系网络度中心性等指标作为证据。所有数字均直接来自知识图谱。</w:t>
      </w:r>
    </w:p>
    <w:bookmarkEnd w:id="23"/>
    <w:bookmarkEnd w:id="24"/>
    <w:bookmarkStart w:id="29" w:name="分析与发现"/>
    <w:p>
      <w:pPr>
        <w:pStyle w:val="Heading2"/>
      </w:pPr>
      <w:r>
        <w:t xml:space="preserve">3. 分析与发现</w:t>
      </w:r>
    </w:p>
    <w:p>
      <w:pPr>
        <w:pStyle w:val="FirstParagraph"/>
      </w:pPr>
      <w:r>
        <w:t xml:space="preserve">《明朝那些事儿》本身是本报告的</w:t>
      </w:r>
      <w:r>
        <w:rPr>
          <w:bCs/>
          <w:b/>
        </w:rPr>
        <w:t xml:space="preserve">第一个分析对象</w:t>
      </w:r>
      <w:r>
        <w:t xml:space="preserve">。它把编年史料改写为带强烈作者声部的通俗叙事，三十年来畅销不衰——这桩”史学传播事件”值得用叙事学认真解剖：它做对了什么？遮蔽了什么？</w:t>
      </w:r>
    </w:p>
    <w:bookmarkStart w:id="25" w:name="一情节化与隐含作者通俗史学的修辞装置"/>
    <w:p>
      <w:pPr>
        <w:pStyle w:val="Heading3"/>
      </w:pPr>
      <w:r>
        <w:t xml:space="preserve">一、情节化与隐含作者：通俗史学的修辞装置</w:t>
      </w:r>
    </w:p>
    <w:p>
      <w:pPr>
        <w:pStyle w:val="FirstParagraph"/>
      </w:pPr>
      <w:r>
        <w:t xml:space="preserve">怀特（White, 1987）的经典论断是：历史再现本质上是修辞性的——任何史实都必须经过情节化（emplotment）才能成为故事。本书选择了”浪漫剧—讽刺剧”交替的情节化策略：开国是励志浪漫剧（乞丐到皇帝），中期是权力讽刺剧（权宦的崛起与崩塌），结尾是悲剧（煤山）。布斯（Booth, 1983）的”隐含作者”概念帮我们解码书中的大量第一人称介入——</w:t>
      </w:r>
      <w:r>
        <w:t xml:space="preserve">“</w:t>
      </w:r>
      <w:r>
        <w:t xml:space="preserve">我认为</w:t>
      </w:r>
      <w:r>
        <w:t xml:space="preserve">”</w:t>
      </w:r>
      <w:r>
        <w:t xml:space="preserve">“</w:t>
      </w:r>
      <w:r>
        <w:t xml:space="preserve">这段历史告诉我们</w:t>
      </w:r>
      <w:r>
        <w:t xml:space="preserve">”</w:t>
      </w:r>
      <w:r>
        <w:t xml:space="preserve">——这些评论不是对史学的污染，而是一种</w:t>
      </w:r>
      <w:r>
        <w:rPr>
          <w:bCs/>
          <w:b/>
        </w:rPr>
        <w:t xml:space="preserve">有意的修辞装置</w:t>
      </w:r>
      <w:r>
        <w:t xml:space="preserve">：作者以当代人的口吻在古今之间穿梭，降低读者进入历史的心理门槛。热奈特（Genette, 1980）的时序与距离工具则可拆解它的技术细节：频繁的预叙（</w:t>
      </w:r>
      <w:r>
        <w:t xml:space="preserve">“</w:t>
      </w:r>
      <w:r>
        <w:t xml:space="preserve">多年以后他才会明白</w:t>
      </w:r>
      <w:r>
        <w:t xml:space="preserve">”</w:t>
      </w:r>
      <w:r>
        <w:t xml:space="preserve">）制造宿命感，近距离聚焦制造共情。</w:t>
      </w:r>
    </w:p>
    <w:bookmarkEnd w:id="25"/>
    <w:bookmarkStart w:id="26" w:name="二英雄旅程王守仁与于谦的叙事弧"/>
    <w:p>
      <w:pPr>
        <w:pStyle w:val="Heading3"/>
      </w:pPr>
      <w:r>
        <w:t xml:space="preserve">二、英雄旅程：王守仁与于谦的叙事弧</w:t>
      </w:r>
    </w:p>
    <w:p>
      <w:pPr>
        <w:pStyle w:val="FirstParagraph"/>
      </w:pPr>
      <w:r>
        <w:t xml:space="preserve">本书塑造人物高度依赖”英雄旅程”原型：平凡出身—磨难—顿悟—高光—落幕。王守仁的弧线最完整：廷杖之辱—龙场悟道—江西平乱—鄱阳湖擒宁王—天泉证道，作者明言其”光芒冠绝当代”；于谦的弧线则被刻意压缩成三幕：北京的阴郁岁月—德胜门的巅峰—夺门后的冤死。莱恩（Ryan, 2001）的”叙事即虚拟现实”理论解释了这种写法的沉浸效力：通过可代入的主人公视角，读者获得”亲历历史”的临场感——这正是本书超越一般史书的传播学秘密，也是本报告用交互图谱延续的方法：</w:t>
      </w:r>
      <w:r>
        <w:rPr>
          <w:bCs/>
          <w:b/>
        </w:rPr>
        <w:t xml:space="preserve">让读者从旁观者变成进入者</w:t>
      </w:r>
      <w:r>
        <w:t xml:space="preserve">。但英雄化的代价同样明显：叙事资源向少数枢纽集中（出场 top 的朱元璋 41 章、万历 30 章、嘉靖 26 章），配角的命运被压缩为情节的燃料。</w:t>
      </w:r>
    </w:p>
    <w:bookmarkEnd w:id="26"/>
    <w:bookmarkStart w:id="27" w:name="三沉默的结构每一次讲述都是一次不讲"/>
    <w:p>
      <w:pPr>
        <w:pStyle w:val="Heading3"/>
      </w:pPr>
      <w:r>
        <w:t xml:space="preserve">三、沉默的结构：每一次讲述都是一次不讲</w:t>
      </w:r>
    </w:p>
    <w:p>
      <w:pPr>
        <w:pStyle w:val="FirstParagraph"/>
      </w:pPr>
      <w:r>
        <w:t xml:space="preserve">叙事不仅是再现，更是</w:t>
      </w:r>
      <w:r>
        <w:rPr>
          <w:bCs/>
          <w:b/>
        </w:rPr>
        <w:t xml:space="preserve">选择性沉默</w:t>
      </w:r>
      <w:r>
        <w:t xml:space="preserve">：书中女性近乎缺席、民变仅 30 起、底层的声音稀薄——这既是原书的取舍，也默契地复刻了明代自身的信息控制结构（塘报、邸报、诏狱保密）。叙事学的价值不在于指责作者”讲错”，而在于让读者意识到：</w:t>
      </w:r>
      <w:r>
        <w:rPr>
          <w:bCs/>
          <w:b/>
        </w:rPr>
        <w:t xml:space="preserve">每一次”讲什么、怎么讲”，都暗含”不讲什么”</w:t>
      </w:r>
      <w:r>
        <w:t xml:space="preserve">。本报告的跨学科重读因此带有一个方法论自觉：用数据把被叙事折叠掉的维度重新展开——被跳过的 1000 个人物、被一笔带过的 30 场民变、从未出现的女性，都以数据点的形式回到桌面上。这不是对本书的否定，而是对它的完成。</w:t>
      </w:r>
    </w:p>
    <w:bookmarkEnd w:id="27"/>
    <w:bookmarkStart w:id="28" w:name="四结尾的偏航徐霞客与全书的主题宣告"/>
    <w:p>
      <w:pPr>
        <w:pStyle w:val="Heading3"/>
      </w:pPr>
      <w:r>
        <w:t xml:space="preserve">四、结尾的偏航：徐霞客与全书的主题宣告</w:t>
      </w:r>
    </w:p>
    <w:p>
      <w:pPr>
        <w:pStyle w:val="FirstParagraph"/>
      </w:pPr>
      <w:r>
        <w:t xml:space="preserve">一部从洪武写到崇祯的王朝史，收尾时既不写亡国的追责，也不写南明的余响，而是笔锋一转，写了徐霞客——作者自己点破了这层用意：徐家两代人被科举筛掉，</w:t>
      </w:r>
      <w:r>
        <w:t xml:space="preserve">“</w:t>
      </w:r>
      <w:r>
        <w:t xml:space="preserve">大明王朝少了两个官僚，却多了一个浪荡才子和一个地理学家</w:t>
      </w:r>
      <w:r>
        <w:t xml:space="preserve">”</w:t>
      </w:r>
      <w:r>
        <w:t xml:space="preserve">；书中甚至顺笔补了一个细节，徐霞客云游各地驿站时”拿着勘合四处转悠”，把公家的驿传系统用成了地理考察的后勤网。从叙事学看，这是教科书级的</w:t>
      </w:r>
      <w:r>
        <w:rPr>
          <w:bCs/>
          <w:b/>
        </w:rPr>
        <w:t xml:space="preserve">主题偏航</w:t>
      </w:r>
      <w:r>
        <w:t xml:space="preserve">（White, 1987）：王朝兴亡的宏大叙事在最后一刻让位于一个用一生走完自己道路的个体，作者的史观由此完成闭环——帝国的成败不是历史的全部，一个人能否按自己的意愿活，同样是历史值得记录的成就。莱恩（Ryan, 2001）所说的沉浸，在这里达到顶点：读者跟随了七部帝王将相的浮沉之后，忽然被交还到”普通人如何度过一生”这个问题面前。这个结尾也是全书修辞的总答案：它讲的从来不只是明朝，而是</w:t>
      </w:r>
      <w:r>
        <w:rPr>
          <w:bCs/>
          <w:b/>
        </w:rPr>
        <w:t xml:space="preserve">在结构中挣扎的个人如何自处</w:t>
      </w:r>
      <w:r>
        <w:t xml:space="preserve">——前面十三节讨论的所有学科透镜，最终都落在这一句上。</w:t>
      </w:r>
    </w:p>
    <w:bookmarkEnd w:id="28"/>
    <w:bookmarkEnd w:id="29"/>
    <w:bookmarkStart w:id="30" w:name="讨论"/>
    <w:p>
      <w:pPr>
        <w:pStyle w:val="Heading2"/>
      </w:pPr>
      <w:r>
        <w:t xml:space="preserve">4. 讨论</w:t>
      </w:r>
    </w:p>
    <w:p>
      <w:pPr>
        <w:pStyle w:val="FirstParagraph"/>
      </w:pPr>
      <w:r>
        <w:t xml:space="preserve">从叙事学的视角看，历史如何被讲述，与历史’发生了什么’同样重要；修辞、英雄化与沉默共同塑造了集体记忆。知识图谱的价值，在于把《明朝那些事儿》中那些“点到即止”的判断——派系、同年、乡党、恐惧治理——第一次变为可计算、可复检的变量，使通俗叙事与严肃史学之间的对话有了共同的语言。</w:t>
      </w:r>
    </w:p>
    <w:p>
      <w:pPr>
        <w:pStyle w:val="BodyText"/>
      </w:pPr>
      <w:r>
        <w:t xml:space="preserve">当然，本研究存在边界：语料来自一部通俗叙事而非档案全体，样本在覆盖面上存在选择性；量化指标刻画的是“书中呈现的关系结构”，而非历史现场本身。结论的可推广性应在此前提下理解。</w:t>
      </w:r>
    </w:p>
    <w:bookmarkEnd w:id="30"/>
    <w:bookmarkStart w:id="31" w:name="结论"/>
    <w:p>
      <w:pPr>
        <w:pStyle w:val="Heading2"/>
      </w:pPr>
      <w:r>
        <w:t xml:space="preserve">5. 结论</w:t>
      </w:r>
    </w:p>
    <w:p>
      <w:pPr>
        <w:pStyle w:val="FirstParagraph"/>
      </w:pPr>
      <w:r>
        <w:t xml:space="preserve">本文以叙事学为透镜，借由明史知识图谱的量化骨架，重新审视了《明朝那些事儿》关于「历史如何被讲述：修辞、英雄化与沉默」的论述。分析表明，历史如何被讲述，与历史’发生了什么’同样重要；修辞、英雄化与沉默共同塑造了集体记忆。这提示我们：通俗历史叙事与计算人文并非对立，而是可以相互校勘的两类证据——前者提供可被感知的经验，后者提供可被检验的结构。</w:t>
      </w:r>
    </w:p>
    <w:bookmarkEnd w:id="31"/>
    <w:bookmarkStart w:id="32" w:name="参考文献"/>
    <w:p>
      <w:pPr>
        <w:pStyle w:val="Heading2"/>
      </w:pPr>
      <w:r>
        <w:t xml:space="preserve">参考文献</w:t>
      </w:r>
    </w:p>
    <w:p>
      <w:pPr>
        <w:numPr>
          <w:ilvl w:val="0"/>
          <w:numId w:val="1002"/>
        </w:numPr>
        <w:pStyle w:val="Compact"/>
      </w:pPr>
      <w:r>
        <w:t xml:space="preserve">当年明月. (2006–2009). 《明朝那些事儿》（全七册）. 中国友谊出版公司.</w:t>
      </w:r>
    </w:p>
    <w:p>
      <w:pPr>
        <w:numPr>
          <w:ilvl w:val="0"/>
          <w:numId w:val="1002"/>
        </w:numPr>
        <w:pStyle w:val="Compact"/>
      </w:pPr>
      <w:r>
        <w:t xml:space="preserve">Yan, Y. (1996).</w:t>
      </w:r>
      <w:r>
        <w:t xml:space="preserve"> </w:t>
      </w:r>
      <w:r>
        <w:rPr>
          <w:iCs/>
          <w:i/>
        </w:rPr>
        <w:t xml:space="preserve">The Flow of Gifts: Reciprocity and Social Networks in a Chinese Village</w:t>
      </w:r>
      <w:r>
        <w:t xml:space="preserve">. Stanford University Press.</w:t>
      </w:r>
    </w:p>
    <w:p>
      <w:pPr>
        <w:numPr>
          <w:ilvl w:val="0"/>
          <w:numId w:val="1002"/>
        </w:numPr>
        <w:pStyle w:val="Compact"/>
      </w:pPr>
      <w:r>
        <w:t xml:space="preserve">White, H. (1987).</w:t>
      </w:r>
      <w:r>
        <w:t xml:space="preserve"> </w:t>
      </w:r>
      <w:r>
        <w:rPr>
          <w:iCs/>
          <w:i/>
        </w:rPr>
        <w:t xml:space="preserve">The Content of the Form: Narrative Discourse and Historical Representation</w:t>
      </w:r>
      <w:r>
        <w:t xml:space="preserve">. Johns Hopkins University Press.</w:t>
      </w:r>
    </w:p>
    <w:p>
      <w:pPr>
        <w:numPr>
          <w:ilvl w:val="0"/>
          <w:numId w:val="1002"/>
        </w:numPr>
        <w:pStyle w:val="Compact"/>
      </w:pPr>
      <w:r>
        <w:t xml:space="preserve">Booth, W. C. (1983).</w:t>
      </w:r>
      <w:r>
        <w:t xml:space="preserve"> </w:t>
      </w:r>
      <w:r>
        <w:rPr>
          <w:iCs/>
          <w:i/>
        </w:rPr>
        <w:t xml:space="preserve">The Rhetoric of Fiction</w:t>
      </w:r>
      <w:r>
        <w:t xml:space="preserve"> </w:t>
      </w:r>
      <w:r>
        <w:t xml:space="preserve">(2nd ed.). University of Chicago Press.</w:t>
      </w:r>
    </w:p>
    <w:p>
      <w:pPr>
        <w:numPr>
          <w:ilvl w:val="0"/>
          <w:numId w:val="1002"/>
        </w:numPr>
        <w:pStyle w:val="Compact"/>
      </w:pPr>
      <w:r>
        <w:t xml:space="preserve">Genette, G. (1980).</w:t>
      </w:r>
      <w:r>
        <w:t xml:space="preserve"> </w:t>
      </w:r>
      <w:r>
        <w:rPr>
          <w:iCs/>
          <w:i/>
        </w:rPr>
        <w:t xml:space="preserve">Narrative Discourse: An Essay in Method</w:t>
      </w:r>
      <w:r>
        <w:t xml:space="preserve">. Cornell University Press.</w:t>
      </w:r>
    </w:p>
    <w:p>
      <w:pPr>
        <w:numPr>
          <w:ilvl w:val="0"/>
          <w:numId w:val="1002"/>
        </w:numPr>
        <w:pStyle w:val="Compact"/>
      </w:pPr>
      <w:r>
        <w:t xml:space="preserve">Ryan, M.-L. (2001).</w:t>
      </w:r>
      <w:r>
        <w:t xml:space="preserve"> </w:t>
      </w:r>
      <w:r>
        <w:rPr>
          <w:iCs/>
          <w:i/>
        </w:rPr>
        <w:t xml:space="preserve">Narrative as Virtual Reality: Immersion and Interactivity in Literature and Electronic Media</w:t>
      </w:r>
      <w:r>
        <w:t xml:space="preserve">. Johns Hopkins University Press.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2026-10-01T06:51:31Z</dcterms:created>
  <dcterms:modified xsi:type="dcterms:W3CDTF">2026-10-01T06:51:31Z</dcterms:modified>
</cp:coreProperties>
</file>

<file path=docProps/custom.xml><?xml version="1.0" encoding="utf-8"?>
<Properties xmlns="http://schemas.openxmlformats.org/officeDocument/2006/custom-properties" xmlns:vt="http://schemas.openxmlformats.org/officeDocument/2006/docPropsVTypes"/>
</file>