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绝对皇权的悖论权力越集中代理人越失控"/>
    <w:p>
      <w:pPr>
        <w:pStyle w:val="Heading1"/>
      </w:pPr>
      <w:r>
        <w:t xml:space="preserve">绝对皇权的悖论：权力越集中，代理人越失控</w:t>
      </w:r>
    </w:p>
    <w:p>
      <w:pPr>
        <w:pStyle w:val="FirstParagraph"/>
      </w:pPr>
      <w:r>
        <w:rPr>
          <w:bCs/>
          <w:b/>
        </w:rPr>
        <w:t xml:space="preserve">The Paradox of Absolute Monarchy: Centralization and Agentic Runaway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明朝是中国绝对皇权的成型期：废丞相、设内廷、厂卫直属于皇帝。但数据揭示一个反直觉的事实——权力越集中，代理人越强。派系分布中，除”明朝”总类（171 人）外，规模最大的是阉党 40、文官 32、建文朝廷 28；政治斗争类事件 365 件，高居所有事件类别之首。皇权一直在玩”用太监制衡文官”的制衡游戏，而游戏的结果，书中冷峻地点破了：</w:t>
      </w:r>
      <w:r>
        <w:t xml:space="preserve">“</w:t>
      </w:r>
      <w:r>
        <w:t xml:space="preserve">没有王振，还有李振；没有刘瑾，会有徐瑾。</w:t>
      </w:r>
      <w:r>
        <w:t xml:space="preserve">”</w:t>
      </w:r>
    </w:p>
    <w:p>
      <w:pPr>
        <w:pStyle w:val="BodyText"/>
      </w:pPr>
      <w:r>
        <w:t xml:space="preserve">本文从政治学视角，围绕「绝对皇权的悖论：权力越集中，代理人越失控」这一命题，依次探讨：一、</w:t>
      </w:r>
      <w:r>
        <w:t xml:space="preserve">“</w:t>
      </w:r>
      <w:r>
        <w:t xml:space="preserve">不姓朱的皇帝</w:t>
      </w:r>
      <w:r>
        <w:t xml:space="preserve">”</w:t>
      </w:r>
      <w:r>
        <w:t xml:space="preserve">：代理人的反噬、二、口水政治：当言论战场取代政策辩论、三、票拟与批红：行政权的制度性拆分、四、制度锁定：改革者为什么必须以命相搏、结语：不是亡于昏君，而是亡于结构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绝对皇权的悖论：权力越集中，代理人越失控</w:t>
      </w:r>
      <w:r>
        <w:t xml:space="preserve">”</w:t>
      </w:r>
      <w:r>
        <w:t xml:space="preserve"> </w:t>
      </w:r>
      <w:r>
        <w:t xml:space="preserve">from the standpoint of Political Science,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绝对皇权；委托—代理；代理人失控；集权悖论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absolute monarchy; principal-agent; agentic runaway; centralization paradox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绝对皇权在集中权力的同时，反而放大了代理人的失控——这是委托—代理理论的鲜活案例。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本文即从政治学（Political Science）的视角，重新审视这部文本中关于「绝对皇权的悖论：权力越集中，代理人越失控」的论述，并以知识图谱提供的量化证据对其加以检验。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本文以政治学的理论透镜解读上述结构化数据：将书中的叙事命题转化为可检验的量化陈述，并以事件类别分布、关系网络度中心性等指标作为证据。所有数字均直接来自知识图谱。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30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明朝是中国绝对皇权的成型期：废丞相、设内廷、厂卫直属于皇帝。但数据揭示一个反直觉的事实——</w:t>
      </w:r>
      <w:r>
        <w:rPr>
          <w:bCs/>
          <w:b/>
        </w:rPr>
        <w:t xml:space="preserve">权力越集中，代理人越强</w:t>
      </w:r>
      <w:r>
        <w:t xml:space="preserve">。派系分布中，除”明朝”总类（171 人）外，规模最大的是阉党 40、文官 32、建文朝廷 28；政治斗争类事件 365 件，高居所有事件类别之首。皇权一直在玩”用太监制衡文官”的制衡游戏，而游戏的结果，书中冷峻地点破了：</w:t>
      </w:r>
      <w:r>
        <w:t xml:space="preserve">“</w:t>
      </w:r>
      <w:r>
        <w:t xml:space="preserve">没有王振，还有李振；没有刘瑾，会有徐瑾。</w:t>
      </w:r>
      <w:r>
        <w:t xml:space="preserve">”</w:t>
      </w:r>
    </w:p>
    <w:bookmarkStart w:id="25" w:name="一不姓朱的皇帝代理人的反噬"/>
    <w:p>
      <w:pPr>
        <w:pStyle w:val="Heading3"/>
      </w:pPr>
      <w:r>
        <w:t xml:space="preserve">一、</w:t>
      </w:r>
      <w:r>
        <w:t xml:space="preserve">“</w:t>
      </w:r>
      <w:r>
        <w:t xml:space="preserve">不姓朱的皇帝</w:t>
      </w:r>
      <w:r>
        <w:t xml:space="preserve">”</w:t>
      </w:r>
      <w:r>
        <w:t xml:space="preserve">：代理人的反噬</w:t>
      </w:r>
    </w:p>
    <w:p>
      <w:pPr>
        <w:pStyle w:val="FirstParagraph"/>
      </w:pPr>
      <w:r>
        <w:t xml:space="preserve">书中戏称王振、刘瑾、魏忠贤这类权宦为”立皇帝”</w:t>
      </w:r>
      <w:r>
        <w:t xml:space="preserve">“</w:t>
      </w:r>
      <w:r>
        <w:t xml:space="preserve">九千岁</w:t>
      </w:r>
      <w:r>
        <w:t xml:space="preserve">”</w:t>
      </w:r>
      <w:r>
        <w:t xml:space="preserve">——名号是戏谑的，政治学内涵却是严肃的：当正式制度无法有效治理，权力必然向</w:t>
      </w:r>
      <w:r>
        <w:rPr>
          <w:bCs/>
          <w:b/>
        </w:rPr>
        <w:t xml:space="preserve">非正式代理人</w:t>
      </w:r>
      <w:r>
        <w:t xml:space="preserve">溢出。蒂利（Tilly, 1990）的国家形成理论指出，强制与资本的集中方式决定国家形态；明朝在卫所、赋税、驿传上高度强制，却始终缺乏对代理人的制度约束，于是每一代代理人最终都反噬主人——王振带皇帝亲征送掉五十万大军，刘瑾的家产清单震惊朝野，魏忠贤的生祠盖到了杭州西湖。韦伯（Weber, 1947）的科层制理想类型在此显出裂隙：皇权亲手绕过科层、诉诸私人化忠诚，也就亲手拆掉了约束代理人的最后防线。</w:t>
      </w:r>
    </w:p>
    <w:bookmarkEnd w:id="25"/>
    <w:bookmarkStart w:id="26" w:name="二口水政治当言论战场取代政策辩论"/>
    <w:p>
      <w:pPr>
        <w:pStyle w:val="Heading3"/>
      </w:pPr>
      <w:r>
        <w:t xml:space="preserve">二、口水政治：当言论战场取代政策辩论</w:t>
      </w:r>
    </w:p>
    <w:p>
      <w:pPr>
        <w:pStyle w:val="FirstParagraph"/>
      </w:pPr>
      <w:r>
        <w:t xml:space="preserve">书里形容东林党”骂人不带脏字的功夫……用意恶毒却又言辞优美”，对应数据中 193 条政治攻讦关系。从嘉靖朝的”大礼议”到万历朝的”争国本”</w:t>
      </w:r>
      <w:r>
        <w:t xml:space="preserve">“</w:t>
      </w:r>
      <w:r>
        <w:t xml:space="preserve">妖书案</w:t>
      </w:r>
      <w:r>
        <w:t xml:space="preserve">”</w:t>
      </w:r>
      <w:r>
        <w:t xml:space="preserve">“</w:t>
      </w:r>
      <w:r>
        <w:t xml:space="preserve">梃击案</w:t>
      </w:r>
      <w:r>
        <w:t xml:space="preserve">”</w:t>
      </w:r>
      <w:r>
        <w:t xml:space="preserve">，再到天启朝的《东林点将录》，明代中后期的政治能量大量消耗在</w:t>
      </w:r>
      <w:r>
        <w:rPr>
          <w:bCs/>
          <w:b/>
        </w:rPr>
        <w:t xml:space="preserve">道德指控的军备竞赛</w:t>
      </w:r>
      <w:r>
        <w:t xml:space="preserve">里。孔飞力（Kuhn, 1990）在《叫魂》中分析过官僚系统如何借助流言与恐慌自我防卫；明代的党争是同一机制的高频日常形态——弹劾不是为了政策，而是为了站队；站队不是为了理想，而是为了生存。达德斯（Dardess, 2002）对东林党从结社到被镇压全过程的专史研究显示，天启年间的清洗已经越过了党争的边界：杨涟、左光斗之死不是言论交锋的失败，而是</w:t>
      </w:r>
      <w:r>
        <w:rPr>
          <w:bCs/>
          <w:b/>
        </w:rPr>
        <w:t xml:space="preserve">组织性的政治灭绝</w:t>
      </w:r>
      <w:r>
        <w:t xml:space="preserve">——对手方要消灭的不是观点，是拥有观点的人。斯科特（Scott, 1990）的”隐藏文本”理论在此同样适用：台面上的道德文章与台面下的利益算计构成两套平行文本，读明史若只读其一，必然误读。</w:t>
      </w:r>
    </w:p>
    <w:bookmarkEnd w:id="26"/>
    <w:bookmarkStart w:id="27" w:name="三票拟与批红行政权的制度性拆分"/>
    <w:p>
      <w:pPr>
        <w:pStyle w:val="Heading3"/>
      </w:pPr>
      <w:r>
        <w:t xml:space="preserve">三、票拟与批红：行政权的制度性拆分</w:t>
      </w:r>
    </w:p>
    <w:p>
      <w:pPr>
        <w:pStyle w:val="FirstParagraph"/>
      </w:pPr>
      <w:r>
        <w:t xml:space="preserve">书中有极少被通俗史书认真讲清的制度细节：票拟。作者写道，到明宣宗时代，</w:t>
      </w:r>
      <w:r>
        <w:t xml:space="preserve">“</w:t>
      </w:r>
      <w:r>
        <w:t xml:space="preserve">内阁权力也越来越大，出现了所谓’票拟’</w:t>
      </w:r>
      <w:r>
        <w:t xml:space="preserve">”</w:t>
      </w:r>
      <w:r>
        <w:t xml:space="preserve">——皇帝忙不过来，由内阁大学士把处理意见草拟好贴在奏章上，皇帝照批即可。这个设计看似提高了效率，实际上完成了一次</w:t>
      </w:r>
      <w:r>
        <w:rPr>
          <w:bCs/>
          <w:b/>
        </w:rPr>
        <w:t xml:space="preserve">行政权的制度性拆分</w:t>
      </w:r>
      <w:r>
        <w:t xml:space="preserve">：建议权归内阁，批红权归皇帝；而当皇帝也懒得批时，批红权又落到了司礼监秉笔太监手里。从此，文官的决策链要经过两道非文官的关口（皇帝与宦官），王振、刘瑾、魏忠贤的权力全都是从这个缝里长出来的——制度给宦官留了椅子，坐进来的就不再只是”皇帝的影子”。韦伯（Weber, 1947）的科层制理论强调职权要”有明确边界”，明代的这一设计恰恰故意制造职权模糊，让两端互相牵制、皇权居中仲裁；诺斯（North, 1990）则会补充：这种以提高控制力而非治理效率为目标的制度设计，最终由整个帝国的治理质量埋单。</w:t>
      </w:r>
    </w:p>
    <w:bookmarkEnd w:id="27"/>
    <w:bookmarkStart w:id="28" w:name="四制度锁定改革者为什么必须以命相搏"/>
    <w:p>
      <w:pPr>
        <w:pStyle w:val="Heading3"/>
      </w:pPr>
      <w:r>
        <w:t xml:space="preserve">四、制度锁定：改革者为什么必须以命相搏</w:t>
      </w:r>
    </w:p>
    <w:p>
      <w:pPr>
        <w:pStyle w:val="FirstParagraph"/>
      </w:pPr>
      <w:r>
        <w:t xml:space="preserve">诺斯（North, 1990）的”路径依赖”理论在明代有一个教科书级的案例：张居正改革。考成法整顿官僚系统，一条鞭法重整财政，每一个动作都在对抗”祖制”锁定——而”祖制”在明代的政治神学里不可质疑。张居正的应对方式是以个人权势强行突破：冯保通内廷、太后镇皇帝、班底压言路，改革在他生前运转良好；他一死，制度立刻回弹，清算立刻启动——夺谥、抄家、长子自尽。胡克（Hucker, 1966）对明代监察制度的经典研究点出了更深一层的病灶：都察院与六科给事中本是对官僚系统的制度性制衡，但监察权只有依附皇权才能行使——京察沦为党争的总清算，正说明这套制衡在皇权阴影下结构性失效。张居正案例的冷峻之处在于：它证明明代体制内改革的</w:t>
      </w:r>
      <w:r>
        <w:rPr>
          <w:bCs/>
          <w:b/>
        </w:rPr>
        <w:t xml:space="preserve">唯一载体是个人</w:t>
      </w:r>
      <w:r>
        <w:t xml:space="preserve">，而个人是有 mortality 的。改革无法制度化，是绝对皇权最深的结构病。</w:t>
      </w:r>
    </w:p>
    <w:bookmarkEnd w:id="28"/>
    <w:bookmarkStart w:id="29" w:name="结语不是亡于昏君而是亡于结构"/>
    <w:p>
      <w:pPr>
        <w:pStyle w:val="Heading3"/>
      </w:pPr>
      <w:r>
        <w:t xml:space="preserve">结语：不是亡于昏君，而是亡于结构</w:t>
      </w:r>
    </w:p>
    <w:p>
      <w:pPr>
        <w:pStyle w:val="FirstParagraph"/>
      </w:pPr>
      <w:r>
        <w:t xml:space="preserve">流行叙事喜欢把明朝之亡归因于万历怠政或崇祯多疑，但把 276 年的数据摊开看：十七位天子、反复出现的权宦、永不停止的党争、无法自我修正的祖制——明朝不是亡于某个昏君，而是亡于</w:t>
      </w:r>
      <w:r>
        <w:rPr>
          <w:bCs/>
          <w:b/>
        </w:rPr>
        <w:t xml:space="preserve">一套无法自我修正的权力结构</w:t>
      </w:r>
      <w:r>
        <w:t xml:space="preserve">。派系数据只是这套结构的拓扑投影，而书中的人物故事，是这套结构逐日运转的日志。政治学的结论和本书的叙事在此汇合：制度决定命运的上下限，人物只决定抵达方式。</w:t>
      </w:r>
    </w:p>
    <w:bookmarkEnd w:id="29"/>
    <w:bookmarkEnd w:id="30"/>
    <w:bookmarkStart w:id="31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政治学的视角看，绝对皇权在集中权力的同时，反而放大了代理人的失控——这是委托—代理理论的鲜活案例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1"/>
    <w:bookmarkStart w:id="32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政治学为透镜，借由明史知识图谱的量化骨架，重新审视了《明朝那些事儿》关于「绝对皇权的悖论：权力越集中，代理人越失控」的论述。分析表明，绝对皇权在集中权力的同时，反而放大了代理人的失控——这是委托—代理理论的鲜活案例。这提示我们：通俗历史叙事与计算人文并非对立，而是可以相互校勘的两类证据——前者提供可被感知的经验，后者提供可被检验的结构。</w:t>
      </w:r>
    </w:p>
    <w:bookmarkEnd w:id="32"/>
    <w:bookmarkStart w:id="33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Weber, M. (1947).</w:t>
      </w:r>
      <w:r>
        <w:t xml:space="preserve"> </w:t>
      </w:r>
      <w:r>
        <w:rPr>
          <w:iCs/>
          <w:i/>
        </w:rPr>
        <w:t xml:space="preserve">The theory of social and economic organization</w:t>
      </w:r>
      <w:r>
        <w:t xml:space="preserve"> </w:t>
      </w:r>
      <w:r>
        <w:t xml:space="preserve">(A. M. Henderson &amp; T. Parsons, Trans.). Free Press.</w:t>
      </w:r>
    </w:p>
    <w:p>
      <w:pPr>
        <w:numPr>
          <w:ilvl w:val="0"/>
          <w:numId w:val="1002"/>
        </w:numPr>
        <w:pStyle w:val="Compact"/>
      </w:pPr>
      <w:r>
        <w:t xml:space="preserve">Kuhn, P. A. (1990).</w:t>
      </w:r>
      <w:r>
        <w:t xml:space="preserve"> </w:t>
      </w:r>
      <w:r>
        <w:rPr>
          <w:iCs/>
          <w:i/>
        </w:rPr>
        <w:t xml:space="preserve">Soulstealers: The Chinese Sorcery Scare of 1768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Tilly, C. (1990).</w:t>
      </w:r>
      <w:r>
        <w:t xml:space="preserve"> </w:t>
      </w:r>
      <w:r>
        <w:rPr>
          <w:iCs/>
          <w:i/>
        </w:rPr>
        <w:t xml:space="preserve">Coercion, Capital, and European States, AD 990–1990</w:t>
      </w:r>
      <w:r>
        <w:t xml:space="preserve">. Basil Blackwell.</w:t>
      </w:r>
    </w:p>
    <w:p>
      <w:pPr>
        <w:numPr>
          <w:ilvl w:val="0"/>
          <w:numId w:val="1002"/>
        </w:numPr>
        <w:pStyle w:val="Compact"/>
      </w:pPr>
      <w:r>
        <w:t xml:space="preserve">North, D. C. (1990).</w:t>
      </w:r>
      <w:r>
        <w:t xml:space="preserve"> </w:t>
      </w:r>
      <w:r>
        <w:rPr>
          <w:iCs/>
          <w:i/>
        </w:rPr>
        <w:t xml:space="preserve">Institutions, Institutional Change and Economic Performance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Scott, J. C. (1990).</w:t>
      </w:r>
      <w:r>
        <w:t xml:space="preserve"> </w:t>
      </w:r>
      <w:r>
        <w:rPr>
          <w:iCs/>
          <w:i/>
        </w:rPr>
        <w:t xml:space="preserve">Domination and the Arts of Resistance: Hidden Transcripts</w:t>
      </w:r>
      <w:r>
        <w:t xml:space="preserve">. Yale University Press.</w:t>
      </w:r>
    </w:p>
    <w:p>
      <w:pPr>
        <w:numPr>
          <w:ilvl w:val="0"/>
          <w:numId w:val="1002"/>
        </w:numPr>
        <w:pStyle w:val="Compact"/>
      </w:pPr>
      <w:r>
        <w:t xml:space="preserve">Kuhn, T. S. (1962).</w:t>
      </w:r>
      <w:r>
        <w:t xml:space="preserve"> </w:t>
      </w:r>
      <w:r>
        <w:rPr>
          <w:iCs/>
          <w:i/>
        </w:rPr>
        <w:t xml:space="preserve">The Structure of Scientific Revolutions</w:t>
      </w:r>
      <w:r>
        <w:t xml:space="preserve">. University of Chicago Press.</w:t>
      </w:r>
    </w:p>
    <w:p>
      <w:pPr>
        <w:numPr>
          <w:ilvl w:val="0"/>
          <w:numId w:val="1002"/>
        </w:numPr>
        <w:pStyle w:val="Compact"/>
      </w:pPr>
      <w:r>
        <w:t xml:space="preserve">Dardess, J. W. (2002).</w:t>
      </w:r>
      <w:r>
        <w:t xml:space="preserve"> </w:t>
      </w:r>
      <w:r>
        <w:rPr>
          <w:iCs/>
          <w:i/>
        </w:rPr>
        <w:t xml:space="preserve">Blood and history in China: The Donglin faction and its repression, 1620–1627</w:t>
      </w:r>
      <w:r>
        <w:t xml:space="preserve">. University of Hawai’i Press.</w:t>
      </w:r>
    </w:p>
    <w:p>
      <w:pPr>
        <w:numPr>
          <w:ilvl w:val="0"/>
          <w:numId w:val="1002"/>
        </w:numPr>
        <w:pStyle w:val="Compact"/>
      </w:pPr>
      <w:r>
        <w:t xml:space="preserve">de Bary, Wm. T. (1981).</w:t>
      </w:r>
      <w:r>
        <w:t xml:space="preserve"> </w:t>
      </w:r>
      <w:r>
        <w:rPr>
          <w:iCs/>
          <w:i/>
        </w:rPr>
        <w:t xml:space="preserve">Neo-Confucian orthodoxy and the learning of the mind-and-heart</w:t>
      </w:r>
      <w:r>
        <w:t xml:space="preserve">. Columbia University Press.</w:t>
      </w:r>
    </w:p>
    <w:p>
      <w:pPr>
        <w:numPr>
          <w:ilvl w:val="0"/>
          <w:numId w:val="1002"/>
        </w:numPr>
        <w:pStyle w:val="Compact"/>
      </w:pPr>
      <w:r>
        <w:t xml:space="preserve">Hucker, C. O. (1966).</w:t>
      </w:r>
      <w:r>
        <w:t xml:space="preserve"> </w:t>
      </w:r>
      <w:r>
        <w:rPr>
          <w:iCs/>
          <w:i/>
        </w:rPr>
        <w:t xml:space="preserve">The censorial system of Ming China</w:t>
      </w:r>
      <w:r>
        <w:t xml:space="preserve">. Stanford University Press.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2026-10-01T06:51:17Z</dcterms:created>
  <dcterms:modified xsi:type="dcterms:W3CDTF">2026-10-01T06:51:17Z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