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4" w:name="权力结构下的心理变形服从异化与多疑"/>
    <w:p>
      <w:pPr>
        <w:pStyle w:val="Heading1"/>
      </w:pPr>
      <w:r>
        <w:t xml:space="preserve">权力结构下的心理变形：服从、异化与多疑</w:t>
      </w:r>
    </w:p>
    <w:p>
      <w:pPr>
        <w:pStyle w:val="FirstParagraph"/>
      </w:pPr>
      <w:r>
        <w:rPr>
          <w:bCs/>
          <w:b/>
        </w:rPr>
        <w:t xml:space="preserve">Psychological Deformation Under Absolute Power: Obedience, Alienation, and Paranoia</w:t>
      </w:r>
    </w:p>
    <w:p>
      <w:pPr>
        <w:pStyle w:val="BodyText"/>
      </w:pPr>
      <w:r>
        <w:rPr>
          <w:iCs/>
          <w:i/>
        </w:rPr>
        <w:t xml:space="preserve">明史知识图谱研究组（Ming Knowledge Graph Project）</w:t>
      </w:r>
    </w:p>
    <w:p>
      <w:pPr>
        <w:pStyle w:val="BodyText"/>
      </w:pPr>
      <w:r>
        <w:rPr>
          <w:bCs/>
          <w:b/>
        </w:rPr>
        <w:t xml:space="preserve">摘要：</w:t>
      </w:r>
      <w:r>
        <w:t xml:space="preserve"> </w:t>
      </w:r>
      <w:r>
        <w:t xml:space="preserve">如果把明朝 276 年看作一台持续运转的”压力测试机”，这本书最精彩的发现并非战争的胜负，而是人在极端权力结构下的心理变形。数据给出结构性证据：在 2324 条关系中，君臣从属 397 条、政治攻讦 193 条、敌对冲突 321 条——超过五分之一的关系是高压之下的服从或攻击。理解了这组数字，就理解了明代政治的集体心理底色。</w:t>
      </w:r>
    </w:p>
    <w:p>
      <w:pPr>
        <w:pStyle w:val="BodyText"/>
      </w:pPr>
      <w:r>
        <w:t xml:space="preserve">本文从心理学视角，围绕「权力结构下的心理变形：服从、异化与多疑」这一命题，依次探讨：一、情境的胜利：王振、刘瑾与魏忠贤、二、廷杖的身体政治与逆境转化、三、崇祯的多疑循环：一个决策心理的病理样本、四、俘虏的十四个月：朱祁镇的瓦剌岁月、五、恐惧作为治理技术的代价。研究借助明史知识图谱的量化骨架，表明通俗历史叙事与计算人文可相互校勘。</w:t>
      </w:r>
    </w:p>
    <w:p>
      <w:pPr>
        <w:pStyle w:val="BodyText"/>
      </w:pPr>
      <w:r>
        <w:rPr>
          <w:bCs/>
          <w:b/>
        </w:rPr>
        <w:t xml:space="preserve">Abstract:</w:t>
      </w:r>
      <w:r>
        <w:t xml:space="preserve"> </w:t>
      </w:r>
      <w:r>
        <w:t xml:space="preserve">This paper examines the claim that</w:t>
      </w:r>
      <w:r>
        <w:t xml:space="preserve"> </w:t>
      </w:r>
      <w:r>
        <w:t xml:space="preserve">“</w:t>
      </w:r>
      <w:r>
        <w:t xml:space="preserve">权力结构下的心理变形：服从、异化与多疑</w:t>
      </w:r>
      <w:r>
        <w:t xml:space="preserve">”</w:t>
      </w:r>
      <w:r>
        <w:t xml:space="preserve"> </w:t>
      </w:r>
      <w:r>
        <w:t xml:space="preserve">from the standpoint of Psychology, using the structured Ming Knowledge Graph — built from Dangnian Mingyue’s popular history</w:t>
      </w:r>
      <w:r>
        <w:t xml:space="preserve"> </w:t>
      </w:r>
      <w:r>
        <w:rPr>
          <w:iCs/>
          <w:i/>
        </w:rPr>
        <w:t xml:space="preserve">Ming Dynasty Those Things</w:t>
      </w:r>
      <w:r>
        <w:t xml:space="preserve"> </w:t>
      </w:r>
      <w:r>
        <w:t xml:space="preserve">(《明朝那些儿》, 2006–2009) — as its corpus. Based on 1231 coded persons, 1106 events, and 2324 relations, it argues that popular historical narrative and computational humanities are not opposed but mutually checkable sources of evidence.</w:t>
      </w:r>
    </w:p>
    <w:p>
      <w:pPr>
        <w:pStyle w:val="BodyText"/>
      </w:pPr>
      <w:r>
        <w:rPr>
          <w:bCs/>
          <w:b/>
        </w:rPr>
        <w:t xml:space="preserve">关键词：</w:t>
      </w:r>
      <w:r>
        <w:t xml:space="preserve"> </w:t>
      </w:r>
      <w:r>
        <w:t xml:space="preserve">权力与服从；情境主义；多疑循环；高压治理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power and obedience; situationism; paranoid cycle; coercive governance</w:t>
      </w:r>
    </w:p>
    <w:p>
      <w:r>
        <w:pict>
          <v:rect style="width:0;height:1.5pt" o:hralign="center" o:hrstd="t" o:hr="t"/>
        </w:pic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FirstParagraph"/>
      </w:pPr>
      <w:r>
        <w:t xml:space="preserve">权力结构如何重塑个体心理，是政治心理学与人格社会学的经典命题；本书提供了大量可被编码的极端情境样本。</w:t>
      </w:r>
    </w:p>
    <w:p>
      <w:pPr>
        <w:pStyle w:val="BodyText"/>
      </w:pPr>
      <w:r>
        <w:t xml:space="preserve">《明朝那些事儿》（当年明月，2006–2009）长期被视为大众读物。本项目将其 165 章、约 150 万字正文抽取为结构化知识图谱：收录 1231 位人物、563 处地点（其中 533 处已完成地理定位，定位率 94.7%）、1106 件事件、2324 条人物/实体关系，并覆盖 17 位明代皇帝在位纪年与 165 条人物年谱。这一语料使书中原本“点到即止”的概念（如派系、同年、乡党）第一次成为可计算的变量。</w:t>
      </w:r>
    </w:p>
    <w:p>
      <w:pPr>
        <w:pStyle w:val="BodyText"/>
      </w:pPr>
      <w:r>
        <w:t xml:space="preserve">本文即从心理学（Psychology）的视角，重新审视这部文本中关于「权力结构下的心理变形：服从、异化与多疑」的论述，并以知识图谱提供的量化证据对其加以检验。</w:t>
      </w:r>
    </w:p>
    <w:bookmarkEnd w:id="20"/>
    <w:bookmarkStart w:id="24" w:name="数据与方法"/>
    <w:p>
      <w:pPr>
        <w:pStyle w:val="Heading2"/>
      </w:pPr>
      <w:r>
        <w:t xml:space="preserve">2. 数据与方法</w:t>
      </w:r>
    </w:p>
    <w:bookmarkStart w:id="21" w:name="语料来源"/>
    <w:p>
      <w:pPr>
        <w:pStyle w:val="Heading3"/>
      </w:pPr>
      <w:r>
        <w:t xml:space="preserve">2.1 语料来源</w:t>
      </w:r>
    </w:p>
    <w:p>
      <w:pPr>
        <w:pStyle w:val="FirstParagraph"/>
      </w:pPr>
      <w:r>
        <w:t xml:space="preserve">《明朝那些事儿》七卷本共 165 章，以编年体与人物传记交织的方式叙述明朝 276 年（1368–1644）史事。抽取流程为：章节切分 → 事实结构化（人物、地点、事件、关系、年谱）→ 大模型辅助抽取 → 人工校勘与去重，所有数字均可与原始文本逐条核对。</w:t>
      </w:r>
    </w:p>
    <w:bookmarkEnd w:id="21"/>
    <w:bookmarkStart w:id="22" w:name="知识图谱结构"/>
    <w:p>
      <w:pPr>
        <w:pStyle w:val="Heading3"/>
      </w:pPr>
      <w:r>
        <w:t xml:space="preserve">2.2 知识图谱结构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人物（characters）</w:t>
      </w:r>
      <w:r>
        <w:t xml:space="preserve">：1231 条，含势力、官职、籍贯、科举、别名等属性；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地点（locations）</w:t>
      </w:r>
      <w:r>
        <w:t xml:space="preserve">：563 条，其中 533 条完成经纬度定位（94.7%）；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事件（events）</w:t>
      </w:r>
      <w:r>
        <w:t xml:space="preserve">：1106 条，按类别标注（政治斗争 365、军事战争 316、人事任免 77、案件刑狱 75 等）；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关系（relations）</w:t>
      </w:r>
      <w:r>
        <w:t xml:space="preserve">：2324 条，含君臣从属 397、敌对冲突 321、政治攻讦 193、亲属 185 等；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在位纪年（reigns）</w:t>
      </w:r>
      <w:r>
        <w:t xml:space="preserve">：17 位皇帝；</w:t>
      </w:r>
      <w:r>
        <w:rPr>
          <w:bCs/>
          <w:b/>
        </w:rPr>
        <w:t xml:space="preserve">年谱（lifespans）</w:t>
      </w:r>
      <w:r>
        <w:t xml:space="preserve">：165 条。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图1 事件类别分布</w:t>
            </w:r>
          </w:p>
        </w:tc>
      </w:tr>
    </w:tbl>
    <w:p>
      <w:pPr>
        <w:pStyle w:val="ImageCaption"/>
      </w:pPr>
      <w:r>
        <w:t xml:space="preserve">图1 事件类别分布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图2 关系类型分布</w:t>
            </w:r>
          </w:p>
        </w:tc>
      </w:tr>
    </w:tbl>
    <w:p>
      <w:pPr>
        <w:pStyle w:val="ImageCaption"/>
      </w:pPr>
      <w:r>
        <w:t xml:space="preserve">图2 关系类型分布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图3 关键人物度中心性 Top12</w:t>
            </w:r>
          </w:p>
        </w:tc>
      </w:tr>
    </w:tbl>
    <w:p>
      <w:pPr>
        <w:pStyle w:val="ImageCaption"/>
      </w:pPr>
      <w:r>
        <w:t xml:space="preserve">图3 关键人物度中心性 Top12</w:t>
      </w:r>
    </w:p>
    <w:bookmarkEnd w:id="22"/>
    <w:bookmarkStart w:id="23" w:name="分析方法"/>
    <w:p>
      <w:pPr>
        <w:pStyle w:val="Heading3"/>
      </w:pPr>
      <w:r>
        <w:t xml:space="preserve">2.3 分析方法</w:t>
      </w:r>
    </w:p>
    <w:p>
      <w:pPr>
        <w:pStyle w:val="FirstParagraph"/>
      </w:pPr>
      <w:r>
        <w:t xml:space="preserve">本文以心理学的理论透镜解读上述结构化数据：将书中的叙事命题转化为可检验的量化陈述，并以事件类别分布、关系网络度中心性等指标作为证据。所有数字均直接来自知识图谱。</w:t>
      </w:r>
    </w:p>
    <w:bookmarkEnd w:id="23"/>
    <w:bookmarkEnd w:id="24"/>
    <w:bookmarkStart w:id="30" w:name="分析与发现"/>
    <w:p>
      <w:pPr>
        <w:pStyle w:val="Heading2"/>
      </w:pPr>
      <w:r>
        <w:t xml:space="preserve">3. 分析与发现</w:t>
      </w:r>
    </w:p>
    <w:p>
      <w:pPr>
        <w:pStyle w:val="FirstParagraph"/>
      </w:pPr>
      <w:r>
        <w:t xml:space="preserve">如果把明朝 276 年看作一台持续运转的”压力测试机”，这本书最精彩的发现并非战争的胜负，而是</w:t>
      </w:r>
      <w:r>
        <w:rPr>
          <w:bCs/>
          <w:b/>
        </w:rPr>
        <w:t xml:space="preserve">人在极端权力结构下的心理变形</w:t>
      </w:r>
      <w:r>
        <w:t xml:space="preserve">。数据给出结构性证据：在 2324 条关系中，君臣从属 397 条、政治攻讦 193 条、敌对冲突 321 条——超过五分之一的关系是高压之下的服从或攻击。理解了这组数字，就理解了明代政治的集体心理底色。</w:t>
      </w:r>
    </w:p>
    <w:bookmarkStart w:id="25" w:name="一情境的胜利王振刘瑾与魏忠贤"/>
    <w:p>
      <w:pPr>
        <w:pStyle w:val="Heading3"/>
      </w:pPr>
      <w:r>
        <w:t xml:space="preserve">一、情境的胜利：王振、刘瑾与魏忠贤</w:t>
      </w:r>
    </w:p>
    <w:p>
      <w:pPr>
        <w:pStyle w:val="FirstParagraph"/>
      </w:pPr>
      <w:r>
        <w:t xml:space="preserve">书中对王振有一句异常清醒的论断：</w:t>
      </w:r>
      <w:r>
        <w:t xml:space="preserve">“</w:t>
      </w:r>
      <w:r>
        <w:t xml:space="preserve">太监就是这样被强行拉上皇帝的政治战车的，他们并不是天生的奸邪小人。</w:t>
      </w:r>
      <w:r>
        <w:t xml:space="preserve">”</w:t>
      </w:r>
      <w:r>
        <w:t xml:space="preserve">这句话几乎就是米尔格拉姆（Milgram, 1974）服从实验的文学转述：当权威结构把一个人嵌入”只需执行、不必负责”的位置，恶行便被体制化地生产出来。刘瑾从”八虎”之一到权倾朝野，魏忠贤从赌徒到”九千岁”，路径如出一辙。津巴多（Zimbardo, 2007）的”路西法效应”进一步说明：把普通人放进坏的系统，情境的力量足以压倒品性。更触目的是书中记载的自阉入宫现象——</w:t>
      </w:r>
      <w:r>
        <w:t xml:space="preserve">“</w:t>
      </w:r>
      <w:r>
        <w:t xml:space="preserve">很多有志于投身宦官事业的人……自行了断子孙根</w:t>
      </w:r>
      <w:r>
        <w:t xml:space="preserve">”</w:t>
      </w:r>
      <w:r>
        <w:t xml:space="preserve">，当制度性上升通道收窄到只剩身体献祭，这不是个人道德问题，而是</w:t>
      </w:r>
      <w:r>
        <w:rPr>
          <w:bCs/>
          <w:b/>
        </w:rPr>
        <w:t xml:space="preserve">一代人的集体心理异化</w:t>
      </w:r>
      <w:r>
        <w:t xml:space="preserve">。</w:t>
      </w:r>
    </w:p>
    <w:bookmarkEnd w:id="25"/>
    <w:bookmarkStart w:id="26" w:name="二廷杖的身体政治与逆境转化"/>
    <w:p>
      <w:pPr>
        <w:pStyle w:val="Heading3"/>
      </w:pPr>
      <w:r>
        <w:t xml:space="preserve">二、廷杖的身体政治与逆境转化</w:t>
      </w:r>
    </w:p>
    <w:p>
      <w:pPr>
        <w:pStyle w:val="FirstParagraph"/>
      </w:pPr>
      <w:r>
        <w:t xml:space="preserve">廷杖是明代特有的心理装置：在朝堂上当众剥裤杖责言官，用身体羞辱完成对整个士大夫群体的规训。三十四岁的六品小官王守仁因上疏营救言官被廷杖四十、贬谪龙场——书里写他”即将踏上历史舞台的中央”，正是这场屈辱把他推向了龙场悟道。同样的制度性暴力，在王振身上生产顺从，在王守仁身上生产了心学。阿多诺（Adorno, 1950）对权威人格的研究提示：高压环境既制造顺从者，也以同等强度催生极端的主体性反弹。明代士人的精神史，就是这两股力量此消彼长的历史。</w:t>
      </w:r>
    </w:p>
    <w:bookmarkEnd w:id="26"/>
    <w:bookmarkStart w:id="27" w:name="三崇祯的多疑循环一个决策心理的病理样本"/>
    <w:p>
      <w:pPr>
        <w:pStyle w:val="Heading3"/>
      </w:pPr>
      <w:r>
        <w:t xml:space="preserve">三、崇祯的多疑循环：一个决策心理的病理样本</w:t>
      </w:r>
    </w:p>
    <w:p>
      <w:pPr>
        <w:pStyle w:val="FirstParagraph"/>
      </w:pPr>
      <w:r>
        <w:t xml:space="preserve">朱由检（度中心性 67，全书第六枢纽）的执政模式可以概括为一个循环：</w:t>
      </w:r>
      <w:r>
        <w:rPr>
          <w:bCs/>
          <w:b/>
        </w:rPr>
        <w:t xml:space="preserve">起用—猜忌—处死—再起用</w:t>
      </w:r>
      <w:r>
        <w:t xml:space="preserve">。袁崇焕平台召对时许下”五年平辽”，四年后被凌迟于西市；孙传庭下狱三年复起，最后战死潼关，书中叹”传庭死而明亡矣”。卡尼曼（Kahneman, 2011）的”系统 1/系统 2”框架可以解释这个循环：在持续的围城压力与信息污染下，皇帝的决策退行到直觉式的猜疑，宁可信其有地除掉任何一个可能威胁皇权的能臣。贾尼斯（Janis, 1982）的”群体思维”则补充了另一半：当温体仁们学会唯诺、无人敢逆龙鳞，错误决策不仅不会被纠正，还会被集体合理化。崇祯临终那句”诸臣误朕”，在心理学意义上并非全然推诿——他确实被自己制造的高压环境反向包围了。</w:t>
      </w:r>
    </w:p>
    <w:bookmarkEnd w:id="27"/>
    <w:bookmarkStart w:id="28" w:name="四俘虏的十四个月朱祁镇的瓦剌岁月"/>
    <w:p>
      <w:pPr>
        <w:pStyle w:val="Heading3"/>
      </w:pPr>
      <w:r>
        <w:t xml:space="preserve">四、俘虏的十四个月：朱祁镇的瓦剌岁月</w:t>
      </w:r>
    </w:p>
    <w:p>
      <w:pPr>
        <w:pStyle w:val="FirstParagraph"/>
      </w:pPr>
      <w:r>
        <w:t xml:space="preserve">心理学最难得的样本是极端情境下的真人，朱祁镇提供了一个。土木堡被俘后，这位皇帝做了一件让瓦剌人目瞪口呆的事：见到前来确认身份的赛刊王，他不求饶、不隐瞒，先出了一道”三选一”的选择题——</w:t>
      </w:r>
      <w:r>
        <w:t xml:space="preserve">“</w:t>
      </w:r>
      <w:r>
        <w:t xml:space="preserve">子额森（也先）乎？伯颜帖木儿乎？赛刊王乎？</w:t>
      </w:r>
      <w:r>
        <w:t xml:space="preserve">”</w:t>
      </w:r>
      <w:r>
        <w:t xml:space="preserve">书中评价他”派头实在不是一般的大”。此后一年多，他与看守者也先之弟伯颜帖木儿处成了朋友，护送南归时对方依依相送数十里。津巴多（Zimbardo, 2007）的情境主义提醒我们不要急着把这一切归因于”天性豁达”：皇帝的身份本身就是情境——在一个连敌营都等级森严的世界里，</w:t>
      </w:r>
      <w:r>
        <w:t xml:space="preserve">“</w:t>
      </w:r>
      <w:r>
        <w:t xml:space="preserve">大明皇帝</w:t>
      </w:r>
      <w:r>
        <w:t xml:space="preserve">”</w:t>
      </w:r>
      <w:r>
        <w:t xml:space="preserve">这个头衔仍然稀缺而值钱，朱祁镇的从容，部分是他唯一还能流通的资产。更冷的心理样本是复位后的他：八年南宫软禁，门锁灌铅、砍树绝迹，惊恐刻进了性格。同一个人，俘虏营里的从容与南宫里的猜忌，恰好标出</w:t>
      </w:r>
      <w:r>
        <w:rPr>
          <w:bCs/>
          <w:b/>
        </w:rPr>
        <w:t xml:space="preserve">情境对人格的重塑范围</w:t>
      </w:r>
      <w:r>
        <w:t xml:space="preserve">——这也是后来那个多疑天子（以及他对夺门功臣的猜忌循环）的心理起点。</w:t>
      </w:r>
    </w:p>
    <w:bookmarkEnd w:id="28"/>
    <w:bookmarkStart w:id="29" w:name="五恐惧作为治理技术的代价"/>
    <w:p>
      <w:pPr>
        <w:pStyle w:val="Heading3"/>
      </w:pPr>
      <w:r>
        <w:t xml:space="preserve">五、恐惧作为治理技术的代价</w:t>
      </w:r>
    </w:p>
    <w:p>
      <w:pPr>
        <w:pStyle w:val="FirstParagraph"/>
      </w:pPr>
      <w:r>
        <w:t xml:space="preserve">杨涟下诏狱后写下”大笑，大笑，还大笑，刀砍东风，于我何有哉”，左光斗面焦不可辨仍拒认罪状——书中的诏狱叙事展示了一种以恐惧为介质的治理技术及其极限：恐惧能摧毁具体的反对者，却摧毁不了他们成为</w:t>
      </w:r>
      <w:r>
        <w:rPr>
          <w:bCs/>
          <w:b/>
        </w:rPr>
        <w:t xml:space="preserve">道德符号</w:t>
      </w:r>
      <w:r>
        <w:t xml:space="preserve">的速度。东林六君子之死没有让士人闭嘴，反而完成了对东林的政治加冕。从长期看，恐惧治理是一笔亏本买卖：它系统性地淘汰敢言者、留下唯诺者，最终让崇祯在众叛亲离中登上煤山。明朝的崩溃始于制度，成于心理——这句结论，数据与叙事各给了它一半的证据。</w:t>
      </w:r>
    </w:p>
    <w:bookmarkEnd w:id="29"/>
    <w:bookmarkEnd w:id="30"/>
    <w:bookmarkStart w:id="31" w:name="讨论"/>
    <w:p>
      <w:pPr>
        <w:pStyle w:val="Heading2"/>
      </w:pPr>
      <w:r>
        <w:t xml:space="preserve">4. 讨论</w:t>
      </w:r>
    </w:p>
    <w:p>
      <w:pPr>
        <w:pStyle w:val="FirstParagraph"/>
      </w:pPr>
      <w:r>
        <w:t xml:space="preserve">从心理学的视角看，权力结构如何重塑个体心理，是政治心理学与人格社会学的经典命题；本书提供了大量可被编码的极端情境样本。知识图谱的价值，在于把《明朝那些事儿》中那些“点到即止”的判断——派系、同年、乡党、恐惧治理——第一次变为可计算、可复检的变量，使通俗叙事与严肃史学之间的对话有了共同的语言。</w:t>
      </w:r>
    </w:p>
    <w:p>
      <w:pPr>
        <w:pStyle w:val="BodyText"/>
      </w:pPr>
      <w:r>
        <w:t xml:space="preserve">当然，本研究存在边界：语料来自一部通俗叙事而非档案全体，样本在覆盖面上存在选择性；量化指标刻画的是“书中呈现的关系结构”，而非历史现场本身。结论的可推广性应在此前提下理解。</w:t>
      </w:r>
    </w:p>
    <w:bookmarkEnd w:id="31"/>
    <w:bookmarkStart w:id="32" w:name="结论"/>
    <w:p>
      <w:pPr>
        <w:pStyle w:val="Heading2"/>
      </w:pPr>
      <w:r>
        <w:t xml:space="preserve">5. 结论</w:t>
      </w:r>
    </w:p>
    <w:p>
      <w:pPr>
        <w:pStyle w:val="FirstParagraph"/>
      </w:pPr>
      <w:r>
        <w:t xml:space="preserve">本文以心理学为透镜，借由明史知识图谱的量化骨架，重新审视了《明朝那些事儿》关于「权力结构下的心理变形：服从、异化与多疑」的论述。分析表明，权力结构如何重塑个体心理，是政治心理学与人格社会学的经典命题；本书提供了大量可被编码的极端情境样本。这提示我们：通俗历史叙事与计算人文并非对立，而是可以相互校勘的两类证据——前者提供可被感知的经验，后者提供可被检验的结构。</w:t>
      </w:r>
    </w:p>
    <w:bookmarkEnd w:id="32"/>
    <w:bookmarkStart w:id="33" w:name="参考文献"/>
    <w:p>
      <w:pPr>
        <w:pStyle w:val="Heading2"/>
      </w:pPr>
      <w:r>
        <w:t xml:space="preserve">参考文献</w:t>
      </w:r>
    </w:p>
    <w:p>
      <w:pPr>
        <w:numPr>
          <w:ilvl w:val="0"/>
          <w:numId w:val="1002"/>
        </w:numPr>
        <w:pStyle w:val="Compact"/>
      </w:pPr>
      <w:r>
        <w:t xml:space="preserve">当年明月. (2006–2009). 《明朝那些事儿》（全七册）. 中国友谊出版公司.</w:t>
      </w:r>
    </w:p>
    <w:p>
      <w:pPr>
        <w:numPr>
          <w:ilvl w:val="0"/>
          <w:numId w:val="1002"/>
        </w:numPr>
        <w:pStyle w:val="Compact"/>
      </w:pPr>
      <w:r>
        <w:t xml:space="preserve">Adorno, T. W., Frenkel-Brunswik, E., Levinson, D. J., &amp; Sanford, R. N. (1950).</w:t>
      </w:r>
      <w:r>
        <w:t xml:space="preserve"> </w:t>
      </w:r>
      <w:r>
        <w:rPr>
          <w:iCs/>
          <w:i/>
        </w:rPr>
        <w:t xml:space="preserve">The authoritarian personality</w:t>
      </w:r>
      <w:r>
        <w:t xml:space="preserve">. Harper.</w:t>
      </w:r>
    </w:p>
    <w:p>
      <w:pPr>
        <w:numPr>
          <w:ilvl w:val="0"/>
          <w:numId w:val="1002"/>
        </w:numPr>
        <w:pStyle w:val="Compact"/>
      </w:pPr>
      <w:r>
        <w:t xml:space="preserve">Janis, I. L. (1982).</w:t>
      </w:r>
      <w:r>
        <w:t xml:space="preserve"> </w:t>
      </w:r>
      <w:r>
        <w:rPr>
          <w:iCs/>
          <w:i/>
        </w:rPr>
        <w:t xml:space="preserve">Groupthink: Psychological studies of policy decisions and fiascoes</w:t>
      </w:r>
      <w:r>
        <w:t xml:space="preserve"> </w:t>
      </w:r>
      <w:r>
        <w:t xml:space="preserve">(2nd ed.). Houghton Mifflin.</w:t>
      </w:r>
    </w:p>
    <w:p>
      <w:pPr>
        <w:numPr>
          <w:ilvl w:val="0"/>
          <w:numId w:val="1002"/>
        </w:numPr>
        <w:pStyle w:val="Compact"/>
      </w:pPr>
      <w:r>
        <w:t xml:space="preserve">Milgram, S. (1974).</w:t>
      </w:r>
      <w:r>
        <w:t xml:space="preserve"> </w:t>
      </w:r>
      <w:r>
        <w:rPr>
          <w:iCs/>
          <w:i/>
        </w:rPr>
        <w:t xml:space="preserve">Obedience to Authority: An Experimental View</w:t>
      </w:r>
      <w:r>
        <w:t xml:space="preserve">. Harper &amp; Row.</w:t>
      </w:r>
    </w:p>
    <w:p>
      <w:pPr>
        <w:numPr>
          <w:ilvl w:val="0"/>
          <w:numId w:val="1002"/>
        </w:numPr>
        <w:pStyle w:val="Compact"/>
      </w:pPr>
      <w:r>
        <w:t xml:space="preserve">Kahneman, D. (2011).</w:t>
      </w:r>
      <w:r>
        <w:t xml:space="preserve"> </w:t>
      </w:r>
      <w:r>
        <w:rPr>
          <w:iCs/>
          <w:i/>
        </w:rPr>
        <w:t xml:space="preserve">Thinking, Fast and Slow</w:t>
      </w:r>
      <w:r>
        <w:t xml:space="preserve">. Farrar, Straus and Giroux.</w:t>
      </w:r>
    </w:p>
    <w:p>
      <w:pPr>
        <w:numPr>
          <w:ilvl w:val="0"/>
          <w:numId w:val="1002"/>
        </w:numPr>
        <w:pStyle w:val="Compact"/>
      </w:pPr>
      <w:r>
        <w:t xml:space="preserve">Zimbardo, P. (2007).</w:t>
      </w:r>
      <w:r>
        <w:t xml:space="preserve"> </w:t>
      </w:r>
      <w:r>
        <w:rPr>
          <w:iCs/>
          <w:i/>
        </w:rPr>
        <w:t xml:space="preserve">The Lucifer Effect: Understanding How Good People Turn Evil</w:t>
      </w:r>
      <w:r>
        <w:t xml:space="preserve">. Random House.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2026-10-01T06:51:14Z</dcterms:created>
  <dcterms:modified xsi:type="dcterms:W3CDTF">2026-10-01T06:51:14Z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