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5" w:name="关系的社会学同年乡党与被排除者"/>
    <w:p>
      <w:pPr>
        <w:pStyle w:val="Heading1"/>
      </w:pPr>
      <w:r>
        <w:t xml:space="preserve">关系的社会学：同年、乡党与被排除者</w:t>
      </w:r>
    </w:p>
    <w:p>
      <w:pPr>
        <w:pStyle w:val="FirstParagraph"/>
      </w:pPr>
      <w:r>
        <w:rPr>
          <w:bCs/>
          <w:b/>
        </w:rPr>
        <w:t xml:space="preserve">The Sociology of Relations: Same-year Cohorts, Native-place Networks, and the Excluded</w:t>
      </w:r>
    </w:p>
    <w:p>
      <w:pPr>
        <w:pStyle w:val="BodyText"/>
      </w:pPr>
      <w:r>
        <w:rPr>
          <w:iCs/>
          <w:i/>
        </w:rPr>
        <w:t xml:space="preserve">明史知识图谱研究组（Ming Knowledge Graph Project）</w:t>
      </w:r>
    </w:p>
    <w:p>
      <w:pPr>
        <w:pStyle w:val="BodyText"/>
      </w:pPr>
      <w:r>
        <w:rPr>
          <w:bCs/>
          <w:b/>
        </w:rPr>
        <w:t xml:space="preserve">摘要：</w:t>
      </w:r>
      <w:r>
        <w:t xml:space="preserve"> </w:t>
      </w:r>
      <w:r>
        <w:t xml:space="preserve">这本书表面写帝王将相，底层却是一部关系社会学。2324 条关系里，除去君臣从属 397 条，最值得注意的是亲属 185、同盟友党 162、师生同门 63——这些”弱制度化”的纽带没有写入任何官制，却是明代政治真正的操作系统。看懂这些关系，才能看懂为什么严嵩倒台前”门生故吏遍天下”，为什么张居正必须同时抓住冯保与李太后。</w:t>
      </w:r>
    </w:p>
    <w:p>
      <w:pPr>
        <w:pStyle w:val="BodyText"/>
      </w:pPr>
      <w:r>
        <w:t xml:space="preserve">本文从社会学视角，围绕「关系的社会学：同年、乡党与被排除者」这一命题，依次探讨：一、社会资本：明朝官僚系统的暗操作系统、二、扭曲的流动：自阉者与社会的边缘、三、地域网络：从同乡到朋党的升级、四、南北榜：一场用血案定下的配额、五、东林书院：一场讲学如何变成一张权力网、六、缺席者：谁被结构性地排除了。研究借助明史知识图谱的量化骨架，表明通俗历史叙事与计算人文可相互校勘。</w:t>
      </w:r>
    </w:p>
    <w:p>
      <w:pPr>
        <w:pStyle w:val="BodyText"/>
      </w:pPr>
      <w:r>
        <w:rPr>
          <w:bCs/>
          <w:b/>
        </w:rPr>
        <w:t xml:space="preserve">Abstract:</w:t>
      </w:r>
      <w:r>
        <w:t xml:space="preserve"> </w:t>
      </w:r>
      <w:r>
        <w:t xml:space="preserve">This paper examines the claim that</w:t>
      </w:r>
      <w:r>
        <w:t xml:space="preserve"> </w:t>
      </w:r>
      <w:r>
        <w:t xml:space="preserve">“</w:t>
      </w:r>
      <w:r>
        <w:t xml:space="preserve">关系的社会学：同年、乡党与被排除者</w:t>
      </w:r>
      <w:r>
        <w:t xml:space="preserve">”</w:t>
      </w:r>
      <w:r>
        <w:t xml:space="preserve"> </w:t>
      </w:r>
      <w:r>
        <w:t xml:space="preserve">from the standpoint of Sociology, using the structured Ming Knowledge Graph — built from Dangnian Mingyue’s popular history</w:t>
      </w:r>
      <w:r>
        <w:t xml:space="preserve"> </w:t>
      </w:r>
      <w:r>
        <w:rPr>
          <w:iCs/>
          <w:i/>
        </w:rPr>
        <w:t xml:space="preserve">Ming Dynasty Those Things</w:t>
      </w:r>
      <w:r>
        <w:t xml:space="preserve"> </w:t>
      </w:r>
      <w:r>
        <w:t xml:space="preserve">(《明朝那些儿》, 2006–2009) — as its corpus. Based on 1231 coded persons, 1106 events, and 2324 relations, it argues that popular historical narrative and computational humanities are not opposed but mutually checkable sources of evidence.</w:t>
      </w:r>
    </w:p>
    <w:p>
      <w:pPr>
        <w:pStyle w:val="BodyText"/>
      </w:pPr>
      <w:r>
        <w:rPr>
          <w:bCs/>
          <w:b/>
        </w:rPr>
        <w:t xml:space="preserve">关键词：</w:t>
      </w:r>
      <w:r>
        <w:t xml:space="preserve"> </w:t>
      </w:r>
      <w:r>
        <w:t xml:space="preserve">关系社会学；同年；乡党；社会网络</w:t>
      </w:r>
    </w:p>
    <w:p>
      <w:pPr>
        <w:pStyle w:val="BodyText"/>
      </w:pPr>
      <w:r>
        <w:rPr>
          <w:bCs/>
          <w:b/>
        </w:rPr>
        <w:t xml:space="preserve">Keywords:</w:t>
      </w:r>
      <w:r>
        <w:t xml:space="preserve"> </w:t>
      </w:r>
      <w:r>
        <w:t xml:space="preserve">sociology of relations; same-year cohorts; native-place; social network</w:t>
      </w:r>
    </w:p>
    <w:p>
      <w:r>
        <w:pict>
          <v:rect style="width:0;height:1.5pt" o:hralign="center" o:hrstd="t" o:hr="t"/>
        </w:pict>
      </w:r>
    </w:p>
    <w:bookmarkStart w:id="20" w:name="引言"/>
    <w:p>
      <w:pPr>
        <w:pStyle w:val="Heading2"/>
      </w:pPr>
      <w:r>
        <w:t xml:space="preserve">1. 引言</w:t>
      </w:r>
    </w:p>
    <w:p>
      <w:pPr>
        <w:pStyle w:val="FirstParagraph"/>
      </w:pPr>
      <w:r>
        <w:t xml:space="preserve">科举同年、乡党、派系构成了前现代中国的社会关系网络；本书提供了将其量化的文本基础。</w:t>
      </w:r>
    </w:p>
    <w:p>
      <w:pPr>
        <w:pStyle w:val="BodyText"/>
      </w:pPr>
      <w:r>
        <w:t xml:space="preserve">《明朝那些事儿》（当年明月，2006–2009）长期被视为大众读物。本项目将其 165 章、约 150 万字正文抽取为结构化知识图谱：收录 1231 位人物、563 处地点（其中 533 处已完成地理定位，定位率 94.7%）、1106 件事件、2324 条人物/实体关系，并覆盖 17 位明代皇帝在位纪年与 165 条人物年谱。这一语料使书中原本“点到即止”的概念（如派系、同年、乡党）第一次成为可计算的变量。</w:t>
      </w:r>
    </w:p>
    <w:p>
      <w:pPr>
        <w:pStyle w:val="BodyText"/>
      </w:pPr>
      <w:r>
        <w:t xml:space="preserve">本文即从社会学（Sociology）的视角，重新审视这部文本中关于「关系的社会学：同年、乡党与被排除者」的论述，并以知识图谱提供的量化证据对其加以检验。</w:t>
      </w:r>
    </w:p>
    <w:bookmarkEnd w:id="20"/>
    <w:bookmarkStart w:id="24" w:name="数据与方法"/>
    <w:p>
      <w:pPr>
        <w:pStyle w:val="Heading2"/>
      </w:pPr>
      <w:r>
        <w:t xml:space="preserve">2. 数据与方法</w:t>
      </w:r>
    </w:p>
    <w:bookmarkStart w:id="21" w:name="语料来源"/>
    <w:p>
      <w:pPr>
        <w:pStyle w:val="Heading3"/>
      </w:pPr>
      <w:r>
        <w:t xml:space="preserve">2.1 语料来源</w:t>
      </w:r>
    </w:p>
    <w:p>
      <w:pPr>
        <w:pStyle w:val="FirstParagraph"/>
      </w:pPr>
      <w:r>
        <w:t xml:space="preserve">《明朝那些事儿》七卷本共 165 章，以编年体与人物传记交织的方式叙述明朝 276 年（1368–1644）史事。抽取流程为：章节切分 → 事实结构化（人物、地点、事件、关系、年谱）→ 大模型辅助抽取 → 人工校勘与去重，所有数字均可与原始文本逐条核对。</w:t>
      </w:r>
    </w:p>
    <w:bookmarkEnd w:id="21"/>
    <w:bookmarkStart w:id="22" w:name="知识图谱结构"/>
    <w:p>
      <w:pPr>
        <w:pStyle w:val="Heading3"/>
      </w:pPr>
      <w:r>
        <w:t xml:space="preserve">2.2 知识图谱结构</w:t>
      </w:r>
    </w:p>
    <w:p>
      <w:pPr>
        <w:numPr>
          <w:ilvl w:val="0"/>
          <w:numId w:val="1001"/>
        </w:numPr>
        <w:pStyle w:val="Compact"/>
      </w:pPr>
      <w:r>
        <w:rPr>
          <w:bCs/>
          <w:b/>
        </w:rPr>
        <w:t xml:space="preserve">人物（characters）</w:t>
      </w:r>
      <w:r>
        <w:t xml:space="preserve">：1231 条，含势力、官职、籍贯、科举、别名等属性；</w:t>
      </w:r>
    </w:p>
    <w:p>
      <w:pPr>
        <w:numPr>
          <w:ilvl w:val="0"/>
          <w:numId w:val="1001"/>
        </w:numPr>
        <w:pStyle w:val="Compact"/>
      </w:pPr>
      <w:r>
        <w:rPr>
          <w:bCs/>
          <w:b/>
        </w:rPr>
        <w:t xml:space="preserve">地点（locations）</w:t>
      </w:r>
      <w:r>
        <w:t xml:space="preserve">：563 条，其中 533 条完成经纬度定位（94.7%）；</w:t>
      </w:r>
    </w:p>
    <w:p>
      <w:pPr>
        <w:numPr>
          <w:ilvl w:val="0"/>
          <w:numId w:val="1001"/>
        </w:numPr>
        <w:pStyle w:val="Compact"/>
      </w:pPr>
      <w:r>
        <w:rPr>
          <w:bCs/>
          <w:b/>
        </w:rPr>
        <w:t xml:space="preserve">事件（events）</w:t>
      </w:r>
      <w:r>
        <w:t xml:space="preserve">：1106 条，按类别标注（政治斗争 365、军事战争 316、人事任免 77、案件刑狱 75 等）；</w:t>
      </w:r>
    </w:p>
    <w:p>
      <w:pPr>
        <w:numPr>
          <w:ilvl w:val="0"/>
          <w:numId w:val="1001"/>
        </w:numPr>
        <w:pStyle w:val="Compact"/>
      </w:pPr>
      <w:r>
        <w:rPr>
          <w:bCs/>
          <w:b/>
        </w:rPr>
        <w:t xml:space="preserve">关系（relations）</w:t>
      </w:r>
      <w:r>
        <w:t xml:space="preserve">：2324 条，含君臣从属 397、敌对冲突 321、政治攻讦 193、亲属 185 等；</w:t>
      </w:r>
    </w:p>
    <w:p>
      <w:pPr>
        <w:numPr>
          <w:ilvl w:val="0"/>
          <w:numId w:val="1001"/>
        </w:numPr>
        <w:pStyle w:val="Compact"/>
      </w:pPr>
      <w:r>
        <w:rPr>
          <w:bCs/>
          <w:b/>
        </w:rPr>
        <w:t xml:space="preserve">在位纪年（reigns）</w:t>
      </w:r>
      <w:r>
        <w:t xml:space="preserve">：17 位皇帝；</w:t>
      </w:r>
      <w:r>
        <w:rPr>
          <w:bCs/>
          <w:b/>
        </w:rPr>
        <w:t xml:space="preserve">年谱（lifespans）</w:t>
      </w:r>
      <w:r>
        <w:t xml:space="preserve">：165 条。</w:t>
      </w:r>
    </w:p>
    <w:tbl>
      <w:tblPr>
        <w:tblStyle w:val="FigureTable"/>
        <w:tblW w:type="auto" w:w="0"/>
        <w:tblLook w:firstRow="0" w:lastRow="0" w:firstColumn="0" w:lastColumn="0"/>
        <w:jc w:val="center"/>
      </w:tblPr>
      <w:tblGrid>
        <w:gridCol w:w="7920"/>
      </w:tblGrid>
      <w:tr>
        <w:tc>
          <w:tcPr/>
          <w:p>
            <w:pPr>
              <w:pStyle w:val="Compact"/>
              <w:jc w:val="center"/>
            </w:pPr>
            <w:r>
              <w:t xml:space="preserve">图1 事件类别分布</w:t>
            </w:r>
          </w:p>
        </w:tc>
      </w:tr>
    </w:tbl>
    <w:p>
      <w:pPr>
        <w:pStyle w:val="ImageCaption"/>
      </w:pPr>
      <w:r>
        <w:t xml:space="preserve">图1 事件类别分布</w:t>
      </w:r>
    </w:p>
    <w:tbl>
      <w:tblPr>
        <w:tblStyle w:val="FigureTable"/>
        <w:tblW w:type="auto" w:w="0"/>
        <w:tblLook w:firstRow="0" w:lastRow="0" w:firstColumn="0" w:lastColumn="0"/>
        <w:jc w:val="center"/>
      </w:tblPr>
      <w:tblGrid>
        <w:gridCol w:w="7920"/>
      </w:tblGrid>
      <w:tr>
        <w:tc>
          <w:tcPr/>
          <w:p>
            <w:pPr>
              <w:pStyle w:val="Compact"/>
              <w:jc w:val="center"/>
            </w:pPr>
            <w:r>
              <w:t xml:space="preserve">图2 关系类型分布</w:t>
            </w:r>
          </w:p>
        </w:tc>
      </w:tr>
    </w:tbl>
    <w:p>
      <w:pPr>
        <w:pStyle w:val="ImageCaption"/>
      </w:pPr>
      <w:r>
        <w:t xml:space="preserve">图2 关系类型分布</w:t>
      </w:r>
    </w:p>
    <w:tbl>
      <w:tblPr>
        <w:tblStyle w:val="FigureTable"/>
        <w:tblW w:type="auto" w:w="0"/>
        <w:tblLook w:firstRow="0" w:lastRow="0" w:firstColumn="0" w:lastColumn="0"/>
        <w:jc w:val="center"/>
      </w:tblPr>
      <w:tblGrid>
        <w:gridCol w:w="7920"/>
      </w:tblGrid>
      <w:tr>
        <w:tc>
          <w:tcPr/>
          <w:p>
            <w:pPr>
              <w:pStyle w:val="Compact"/>
              <w:jc w:val="center"/>
            </w:pPr>
            <w:r>
              <w:t xml:space="preserve">图3 关键人物度中心性 Top12</w:t>
            </w:r>
          </w:p>
        </w:tc>
      </w:tr>
    </w:tbl>
    <w:p>
      <w:pPr>
        <w:pStyle w:val="ImageCaption"/>
      </w:pPr>
      <w:r>
        <w:t xml:space="preserve">图3 关键人物度中心性 Top12</w:t>
      </w:r>
    </w:p>
    <w:bookmarkEnd w:id="22"/>
    <w:bookmarkStart w:id="23" w:name="分析方法"/>
    <w:p>
      <w:pPr>
        <w:pStyle w:val="Heading3"/>
      </w:pPr>
      <w:r>
        <w:t xml:space="preserve">2.3 分析方法</w:t>
      </w:r>
    </w:p>
    <w:p>
      <w:pPr>
        <w:pStyle w:val="FirstParagraph"/>
      </w:pPr>
      <w:r>
        <w:t xml:space="preserve">本文以社会学的理论透镜解读上述结构化数据：将书中的叙事命题转化为可检验的量化陈述，并以事件类别分布、关系网络度中心性等指标作为证据。所有数字均直接来自知识图谱。</w:t>
      </w:r>
    </w:p>
    <w:bookmarkEnd w:id="23"/>
    <w:bookmarkEnd w:id="24"/>
    <w:bookmarkStart w:id="31" w:name="分析与发现"/>
    <w:p>
      <w:pPr>
        <w:pStyle w:val="Heading2"/>
      </w:pPr>
      <w:r>
        <w:t xml:space="preserve">3. 分析与发现</w:t>
      </w:r>
    </w:p>
    <w:p>
      <w:pPr>
        <w:pStyle w:val="FirstParagraph"/>
      </w:pPr>
      <w:r>
        <w:t xml:space="preserve">这本书表面写帝王将相，底层却是一部</w:t>
      </w:r>
      <w:r>
        <w:rPr>
          <w:bCs/>
          <w:b/>
        </w:rPr>
        <w:t xml:space="preserve">关系社会学</w:t>
      </w:r>
      <w:r>
        <w:t xml:space="preserve">。2324 条关系里，除去君臣从属 397 条，最值得注意的是亲属 185、同盟友党 162、师生同门 63——这些”弱制度化”的纽带没有写入任何官制，却是明代政治真正的操作系统。看懂这些关系，才能看懂为什么严嵩倒台前”门生故吏遍天下”，为什么张居正必须同时抓住冯保与李太后。</w:t>
      </w:r>
    </w:p>
    <w:bookmarkStart w:id="25" w:name="一社会资本明朝官僚系统的暗操作系统"/>
    <w:p>
      <w:pPr>
        <w:pStyle w:val="Heading3"/>
      </w:pPr>
      <w:r>
        <w:t xml:space="preserve">一、社会资本：明朝官僚系统的暗操作系统</w:t>
      </w:r>
    </w:p>
    <w:p>
      <w:pPr>
        <w:pStyle w:val="FirstParagraph"/>
      </w:pPr>
      <w:r>
        <w:t xml:space="preserve">徐阶、高拱、张居正三人先后入阁、彼此倾轧，却共享同一个网络底色：八股文高分、科举同年、师生门生。林南（Lin, 2001）的社会资本理论指出，正式制度之外的信任网络决定资源如何流通；明代仕途正是由这种网络驱动的——座主与门生、同科与同乡，构成一张覆盖全国的庇护—提携网络。艾尔曼（Elman, 2000）对明清科举文化史的研究进一步表明，考试本身就是一场年度性的社会仪式：同科进士互称”同年”、与主考官结成”座主—门生”的拟亲属关系，殿试后的琼林宴、同年的通谱会都把这些私人纽带制度化为终身义务——</w:t>
      </w:r>
      <w:r>
        <w:rPr>
          <w:bCs/>
          <w:b/>
        </w:rPr>
        <w:t xml:space="preserve">科举在选拔官僚的同时，批量生产着跨地域的政治纽带</w:t>
      </w:r>
      <w:r>
        <w:t xml:space="preserve">。格兰诺维特（Granovetter, 1973）的”弱关系力量”则解释了变局的枢纽：真正改变格局的往往不是网络内部的强纽带，而是跨网络的零星联结——徐阶与王守仁学派的渊源、张居正与冯保的宫府勾连，都是把两个原本隔绝的网络焊接在一起的弱关系。本报告的图数据让这些抽象理论变得具体：在关系网络视图里任选一位枢纽人物，他的邻居几乎完整复现上述结构。</w:t>
      </w:r>
    </w:p>
    <w:bookmarkEnd w:id="25"/>
    <w:bookmarkStart w:id="26" w:name="二扭曲的流动自阉者与社会的边缘"/>
    <w:p>
      <w:pPr>
        <w:pStyle w:val="Heading3"/>
      </w:pPr>
      <w:r>
        <w:t xml:space="preserve">二、扭曲的流动：自阉者与社会的边缘</w:t>
      </w:r>
    </w:p>
    <w:p>
      <w:pPr>
        <w:pStyle w:val="FirstParagraph"/>
      </w:pPr>
      <w:r>
        <w:t xml:space="preserve">书中记载，明朝中期”想当宦官的人太多”，以致有人自行阉割却未能入宫，沦为游荡的社会不安定因素。这是一幅极端的</w:t>
      </w:r>
      <w:r>
        <w:rPr>
          <w:bCs/>
          <w:b/>
        </w:rPr>
        <w:t xml:space="preserve">向上流动扭曲图</w:t>
      </w:r>
      <w:r>
        <w:t xml:space="preserve">：当官方上升通道（科举）录取率趋近于零、宗族资源又向嫡长集中，底层男性唯一可想象的晋升方式，竟以身体的自我毁损为代价。社会不是没有反抗——斯科特（Scott, 1990）的”隐藏文本”理论提醒我们，底层面对皇权并非全然顺从，民谣、隐语、阳奉阴违是日常的抵抗形式；刘瑾被凌迟时百姓争食其肉，则是隐藏文本最暴烈的显影时刻。只是本报告中这些声音大多未能进入正式记录——数据再一次诚实地呈现了档案的偏向。</w:t>
      </w:r>
    </w:p>
    <w:bookmarkEnd w:id="26"/>
    <w:bookmarkStart w:id="27" w:name="三地域网络从同乡到朋党的升级"/>
    <w:p>
      <w:pPr>
        <w:pStyle w:val="Heading3"/>
      </w:pPr>
      <w:r>
        <w:t xml:space="preserve">三、地域网络：从同乡到朋党的升级</w:t>
      </w:r>
    </w:p>
    <w:p>
      <w:pPr>
        <w:pStyle w:val="FirstParagraph"/>
      </w:pPr>
      <w:r>
        <w:t xml:space="preserve">数据里的派系名称自带地理标签：阉党 40、文官 32 之外，还有以籍贯成军的浙党、齐党、楚党——这些名词本身就是社会学证据：</w:t>
      </w:r>
      <w:r>
        <w:rPr>
          <w:bCs/>
          <w:b/>
        </w:rPr>
        <w:t xml:space="preserve">科举的地域配额把同乡变成了天然的政治集团</w:t>
      </w:r>
      <w:r>
        <w:t xml:space="preserve">。书中写万历朝的国本之争，争的表面是储位，底下是”东林 vs 浙齐楚诸党”的组织对抗；京察每六年一次，名义考察官员操守，实际是各籍贯集团的总清算。林南（Lin, 2001）把这种以地缘为底的网络称为”嵌入性资源”——它先于个人存在，个人只能继承或背离。明代政治的悲剧之一是：制度没有给跨集团的公共联盟留任何空间，于是所有的联合都以同乡、同年的私人名义进行，所有的政治都长成了朋党的样子。</w:t>
      </w:r>
    </w:p>
    <w:bookmarkEnd w:id="27"/>
    <w:bookmarkStart w:id="28" w:name="四南北榜一场用血案定下的配额"/>
    <w:p>
      <w:pPr>
        <w:pStyle w:val="Heading3"/>
      </w:pPr>
      <w:r>
        <w:t xml:space="preserve">四、南北榜：一场用血案定下的配额</w:t>
      </w:r>
    </w:p>
    <w:p>
      <w:pPr>
        <w:pStyle w:val="FirstParagraph"/>
      </w:pPr>
      <w:r>
        <w:t xml:space="preserve">考试作为社会机器的另一种样貌，写在洪武三十年的南北榜案里。书中的叙述毫不掩饰其血腥：一次会试，中榜者几乎全是南方人，北方举人指认考官舞弊，闹到朱元璋那里——</w:t>
      </w:r>
      <w:r>
        <w:t xml:space="preserve">“</w:t>
      </w:r>
      <w:r>
        <w:t xml:space="preserve">他老人家是个实在人</w:t>
      </w:r>
      <w:r>
        <w:t xml:space="preserve">”</w:t>
      </w:r>
      <w:r>
        <w:t xml:space="preserve">，处理方式是杀人；可杀完人问题还在，</w:t>
      </w:r>
      <w:r>
        <w:t xml:space="preserve">“</w:t>
      </w:r>
      <w:r>
        <w:t xml:space="preserve">当年的北方教学质量确实不如南方，你把人杀光了也没辙</w:t>
      </w:r>
      <w:r>
        <w:t xml:space="preserve">”</w:t>
      </w:r>
      <w:r>
        <w:t xml:space="preserve">。于是帝国发明了南北榜：不看分数看户籍，</w:t>
      </w:r>
      <w:r>
        <w:t xml:space="preserve">“</w:t>
      </w:r>
      <w:r>
        <w:t xml:space="preserve">南方算你倒霉，北方算你运气</w:t>
      </w:r>
      <w:r>
        <w:t xml:space="preserve">”</w:t>
      </w:r>
      <w:r>
        <w:t xml:space="preserve">，到宣宗朝更进一步把云贵川也划入照顾范围。艾尔曼（Elman, 2000）的科举研究显示，这种按地域分配录取名额的制度为明清两代乃至后世高考分区录取埋下了原型——</w:t>
      </w:r>
      <w:r>
        <w:rPr>
          <w:bCs/>
          <w:b/>
        </w:rPr>
        <w:t xml:space="preserve">考试公平与地域公平的冲突，无法靠考试本身解决，只能靠制度配额强行平衡</w:t>
      </w:r>
      <w:r>
        <w:t xml:space="preserve">。一场血案换来的不是更公正的考试，而是更诚实的承认：考试从来不只是选拔，更是利益分配。</w:t>
      </w:r>
    </w:p>
    <w:bookmarkEnd w:id="28"/>
    <w:bookmarkStart w:id="29" w:name="五东林书院一场讲学如何变成一张权力网"/>
    <w:p>
      <w:pPr>
        <w:pStyle w:val="Heading3"/>
      </w:pPr>
      <w:r>
        <w:t xml:space="preserve">五、东林书院：一场讲学如何变成一张权力网</w:t>
      </w:r>
    </w:p>
    <w:p>
      <w:pPr>
        <w:pStyle w:val="FirstParagraph"/>
      </w:pPr>
      <w:r>
        <w:t xml:space="preserve">东林党的起源不是官职，而是一场失业后的讲学。书中把这条线索写得极清楚：顾宪成在万历二十一年的京察中崭露头角——作者明言，那次京察”是在顾宪成的策划下，有预谋，有目的的政治攻击”；后来他革职还乡，在无锡东林书院讲学，以一介平民的身份成了朝野舆论的中心，天下”以东林为是非”。林南（Lin, 2001）的社会资本理论在此有了一个教科书案例：科举同年与师门关系是嵌入官方制度的资本，而讲学会讲则创造了一种</w:t>
      </w:r>
      <w:r>
        <w:rPr>
          <w:bCs/>
          <w:b/>
        </w:rPr>
        <w:t xml:space="preserve">不依附官职的替代性网络</w:t>
      </w:r>
      <w:r>
        <w:t xml:space="preserve">——它给仕途失意者、被排挤者、在野的士大夫提供身份与联盟，其动员力反而更强，因为不需要回避任何官场的利害。格兰诺维特（Granovetter, 1973）的弱关系逻辑再次生效：书院把江浙的讲学界、朝中的失意派、言官集团焊接成一片，</w:t>
      </w:r>
      <w:r>
        <w:t xml:space="preserve">“</w:t>
      </w:r>
      <w:r>
        <w:t xml:space="preserve">风声雨声</w:t>
      </w:r>
      <w:r>
        <w:t xml:space="preserve">”</w:t>
      </w:r>
      <w:r>
        <w:t xml:space="preserve">背后的组织事实，是一张以书院为节点、以师生同年为边的网络。政治学的教训也在这里：当一个体制不给在野者留任何正式空间，在野者就会自己发明一个——并最终成为体制最锋利的反对面。</w:t>
      </w:r>
    </w:p>
    <w:bookmarkEnd w:id="29"/>
    <w:bookmarkStart w:id="30" w:name="六缺席者谁被结构性地排除了"/>
    <w:p>
      <w:pPr>
        <w:pStyle w:val="Heading3"/>
      </w:pPr>
      <w:r>
        <w:t xml:space="preserve">六、缺席者：谁被结构性地排除了</w:t>
      </w:r>
    </w:p>
    <w:p>
      <w:pPr>
        <w:pStyle w:val="FirstParagraph"/>
      </w:pPr>
      <w:r>
        <w:t xml:space="preserve">1231 个人物中，可识别的女性仅个位数，平民以主体身份出场者寥寥，民变起义事件仅 30 起。这既是原书的取舍，也是科举—官僚档案的结构性盲区：被记录的人，正是被制度承认的人。社会学要求我们不仅研究”出现了谁”，更要研究”</w:t>
      </w:r>
      <w:r>
        <w:rPr>
          <w:bCs/>
          <w:b/>
        </w:rPr>
        <w:t xml:space="preserve">谁被结构性地排除了</w:t>
      </w:r>
      <w:r>
        <w:t xml:space="preserve">”——被排除的不是不重要，而是不重要到不值得记。本报告把数据全部公开、允许二次挖掘，正是为了让下一次更公允的追问有据可依：当有人问”明代的女性、匠人、流民在哪里”，答案不该是”没有”，而该是”没有被看见”。</w:t>
      </w:r>
    </w:p>
    <w:bookmarkEnd w:id="30"/>
    <w:bookmarkEnd w:id="31"/>
    <w:bookmarkStart w:id="32" w:name="讨论"/>
    <w:p>
      <w:pPr>
        <w:pStyle w:val="Heading2"/>
      </w:pPr>
      <w:r>
        <w:t xml:space="preserve">4. 讨论</w:t>
      </w:r>
    </w:p>
    <w:p>
      <w:pPr>
        <w:pStyle w:val="FirstParagraph"/>
      </w:pPr>
      <w:r>
        <w:t xml:space="preserve">从社会学的视角看，科举同年、乡党、派系构成了前现代中国的社会关系网络；本书提供了将其量化的文本基础。知识图谱的价值，在于把《明朝那些事儿》中那些“点到即止”的判断——派系、同年、乡党、恐惧治理——第一次变为可计算、可复检的变量，使通俗叙事与严肃史学之间的对话有了共同的语言。</w:t>
      </w:r>
    </w:p>
    <w:p>
      <w:pPr>
        <w:pStyle w:val="BodyText"/>
      </w:pPr>
      <w:r>
        <w:t xml:space="preserve">当然，本研究存在边界：语料来自一部通俗叙事而非档案全体，样本在覆盖面上存在选择性；量化指标刻画的是“书中呈现的关系结构”，而非历史现场本身。结论的可推广性应在此前提下理解。</w:t>
      </w:r>
    </w:p>
    <w:bookmarkEnd w:id="32"/>
    <w:bookmarkStart w:id="33" w:name="结论"/>
    <w:p>
      <w:pPr>
        <w:pStyle w:val="Heading2"/>
      </w:pPr>
      <w:r>
        <w:t xml:space="preserve">5. 结论</w:t>
      </w:r>
    </w:p>
    <w:p>
      <w:pPr>
        <w:pStyle w:val="FirstParagraph"/>
      </w:pPr>
      <w:r>
        <w:t xml:space="preserve">本文以社会学为透镜，借由明史知识图谱的量化骨架，重新审视了《明朝那些事儿》关于「关系的社会学：同年、乡党与被排除者」的论述。分析表明，科举同年、乡党、派系构成了前现代中国的社会关系网络；本书提供了将其量化的文本基础。这提示我们：通俗历史叙事与计算人文并非对立，而是可以相互校勘的两类证据——前者提供可被感知的经验，后者提供可被检验的结构。</w:t>
      </w:r>
    </w:p>
    <w:bookmarkEnd w:id="33"/>
    <w:bookmarkStart w:id="34" w:name="参考文献"/>
    <w:p>
      <w:pPr>
        <w:pStyle w:val="Heading2"/>
      </w:pPr>
      <w:r>
        <w:t xml:space="preserve">参考文献</w:t>
      </w:r>
    </w:p>
    <w:p>
      <w:pPr>
        <w:numPr>
          <w:ilvl w:val="0"/>
          <w:numId w:val="1002"/>
        </w:numPr>
        <w:pStyle w:val="Compact"/>
      </w:pPr>
      <w:r>
        <w:t xml:space="preserve">当年明月. (2006–2009). 《明朝那些事儿》（全七册）. 中国友谊出版公司.</w:t>
      </w:r>
    </w:p>
    <w:p>
      <w:pPr>
        <w:numPr>
          <w:ilvl w:val="0"/>
          <w:numId w:val="1002"/>
        </w:numPr>
        <w:pStyle w:val="Compact"/>
      </w:pPr>
      <w:r>
        <w:t xml:space="preserve">Granovetter, M. S. (1973). The strength of weak ties.</w:t>
      </w:r>
      <w:r>
        <w:t xml:space="preserve"> </w:t>
      </w:r>
      <w:r>
        <w:rPr>
          <w:iCs/>
          <w:i/>
        </w:rPr>
        <w:t xml:space="preserve">American Journal of Sociology, 78</w:t>
      </w:r>
      <w:r>
        <w:t xml:space="preserve">(6), 1360–1380.</w:t>
      </w:r>
    </w:p>
    <w:p>
      <w:pPr>
        <w:numPr>
          <w:ilvl w:val="0"/>
          <w:numId w:val="1002"/>
        </w:numPr>
        <w:pStyle w:val="Compact"/>
      </w:pPr>
      <w:r>
        <w:t xml:space="preserve">Lin, N. (2001).</w:t>
      </w:r>
      <w:r>
        <w:t xml:space="preserve"> </w:t>
      </w:r>
      <w:r>
        <w:rPr>
          <w:iCs/>
          <w:i/>
        </w:rPr>
        <w:t xml:space="preserve">Social Capital: A Theory of Social Structure and Action</w:t>
      </w:r>
      <w:r>
        <w:t xml:space="preserve">. Cambridge University Press.</w:t>
      </w:r>
    </w:p>
    <w:p>
      <w:pPr>
        <w:numPr>
          <w:ilvl w:val="0"/>
          <w:numId w:val="1002"/>
        </w:numPr>
        <w:pStyle w:val="Compact"/>
      </w:pPr>
      <w:r>
        <w:t xml:space="preserve">Scott, J. C. (1990).</w:t>
      </w:r>
      <w:r>
        <w:t xml:space="preserve"> </w:t>
      </w:r>
      <w:r>
        <w:rPr>
          <w:iCs/>
          <w:i/>
        </w:rPr>
        <w:t xml:space="preserve">Domination and the Arts of Resistance: Hidden Transcripts</w:t>
      </w:r>
      <w:r>
        <w:t xml:space="preserve">. Yale University Press.</w:t>
      </w:r>
    </w:p>
    <w:p>
      <w:pPr>
        <w:numPr>
          <w:ilvl w:val="0"/>
          <w:numId w:val="1002"/>
        </w:numPr>
        <w:pStyle w:val="Compact"/>
      </w:pPr>
      <w:r>
        <w:t xml:space="preserve">Elman, B. A. (2000).</w:t>
      </w:r>
      <w:r>
        <w:t xml:space="preserve"> </w:t>
      </w:r>
      <w:r>
        <w:rPr>
          <w:iCs/>
          <w:i/>
        </w:rPr>
        <w:t xml:space="preserve">A cultural history of civil examinations in late imperial China</w:t>
      </w:r>
      <w:r>
        <w:t xml:space="preserve">. University of California Press.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2026-10-01T06:51:19Z</dcterms:created>
  <dcterms:modified xsi:type="dcterms:W3CDTF">2026-10-01T06:51:19Z</dcterms:modified>
</cp:coreProperties>
</file>

<file path=docProps/custom.xml><?xml version="1.0" encoding="utf-8"?>
<Properties xmlns="http://schemas.openxmlformats.org/officeDocument/2006/custom-properties" xmlns:vt="http://schemas.openxmlformats.org/officeDocument/2006/docPropsVTypes"/>
</file>