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综合十九镜汇流与方法论的回声"/>
    <w:p>
      <w:pPr>
        <w:pStyle w:val="Heading1"/>
      </w:pPr>
      <w:r>
        <w:t xml:space="preserve">综合：十九镜汇流与方法论的回声</w:t>
      </w:r>
    </w:p>
    <w:p>
      <w:pPr>
        <w:pStyle w:val="FirstParagraph"/>
      </w:pPr>
      <w:r>
        <w:rPr>
          <w:bCs/>
          <w:b/>
        </w:rPr>
        <w:t xml:space="preserve">Synthesis: Nineteen Lenses Converge and the Echoes of Method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把十九面透镜叠在一起，明朝浮现为一个多维的、可被反复进入的结构，而非一条单线的王朝衰亡史。以崇祯朱由检为例：心理学看见他的多疑循环（Kahneman, 2011；Janis, 1982），政治学看见绝对皇权对代理人的失控（Tilly, 1990；Weber, 1947），社会学看见其孤立于师生—乡党网络之外（Lin, 2001），人类学看见”君王死社稷”背后的名分伦理（Fei, 1992），系统学看见他作为枢纽节点被抽离后的级联失效（Barabási, 2002；Scheffer, 2009），博物馆学看见煤山成为难言之遗产（Macdonald, 2009），历史学把这一切放回 1644 年的……</w:t>
      </w:r>
    </w:p>
    <w:p>
      <w:pPr>
        <w:pStyle w:val="BodyText"/>
      </w:pPr>
      <w:r>
        <w:t xml:space="preserve">本文从综合视角，围绕「综合：十九镜汇流与方法论的回声」这一命题，依次探讨：。研究借助明史知识图谱的量化骨架，表明通俗历史叙事与计算人文可相互校勘。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综合：十九镜汇流与方法论的回声</w:t>
      </w:r>
      <w:r>
        <w:t xml:space="preserve">”</w:t>
      </w:r>
      <w:r>
        <w:t xml:space="preserve"> </w:t>
      </w:r>
      <w:r>
        <w:t xml:space="preserve">from the standpoint of Synthesis,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方法论综合；数字人文；计算史学；跨学科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methodological synthesis; digital humanities; computational history; interdisciplinarity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十九面透镜并非十九个结论，而是同一种史料被不同学科同时照亮的方法论回声。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本文即从综合（Synthesis）的视角，重新审视这部文本中关于「综合：十九镜汇流与方法论的回声」的论述，并以知识图谱提供的量化证据对其加以检验。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本文以综合的理论透镜解读上述结构化数据：将书中的叙事命题转化为可检验的量化陈述，并以事件类别分布、关系网络度中心性等指标作为证据。所有数字均直接来自知识图谱。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25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把十九面透镜叠在一起，明朝浮现为一个</w:t>
      </w:r>
      <w:r>
        <w:rPr>
          <w:bCs/>
          <w:b/>
        </w:rPr>
        <w:t xml:space="preserve">多维的、可被反复进入的结构</w:t>
      </w:r>
      <w:r>
        <w:t xml:space="preserve">，而非一条单线的王朝衰亡史。以崇祯朱由检为例：心理学看见他的多疑循环（Kahneman, 2011；Janis, 1982），政治学看见绝对皇权对代理人的失控（Tilly, 1990；Weber, 1947），社会学看见其孤立于师生—乡党网络之外（Lin, 2001），人类学看见”君王死社稷”背后的名分伦理（Fei, 1992），系统学看见他作为枢纽节点被抽离后的级联失效（Barabási, 2002；Scheffer, 2009），博物馆学看见煤山成为难言之遗产（Macdonald, 2009），历史学把这一切放回 1644 年的编年坐标（Mote &amp; Twitchett, 1988）。再加六面后置的透镜：经济学看见辽饷加派如何压垮财政平衡（Huang, 1974；Pomeranz, 2000），法学看见廷杖与诏狱对司法程序的凌驾（Ch’ü, 1961），军事学看见卫所—火器—防御链的整体衰变（Andrade, 2016），地理学看见京师—边疆轴向对帝国命脉的牵动（谭其骧, 1982），叙事学看见”亡国之君”修辞如何被书写成形（White, 1987），性别学则提醒我们：这段历史里几乎听不见女性的声音（Ko, 1994）。最后三面新加的透镜：哲学看见心学的突围与朝廷的崇道私好（de Bary, 1981），国际关系学看见天下秩序在朝贡与战争之间的来回切换（Fairbank, 1968），科学看见科举”正道”之外另一种被后世铭记的成功（Nappi, 2009），艺术看见徐渭与唐寅把失意铸成不朽（Cahill, 1982），信息看见妖书案与点将录如何把谣言与黑名单变成武器（Kuhn, 1990）。</w:t>
      </w:r>
    </w:p>
    <w:p>
      <w:pPr>
        <w:pStyle w:val="BodyText"/>
      </w:pPr>
      <w:r>
        <w:t xml:space="preserve">十九镜一句话收束。</w:t>
      </w:r>
    </w:p>
    <w:p>
      <w:pPr>
        <w:pStyle w:val="BodyText"/>
      </w:pPr>
      <w:r>
        <w:t xml:space="preserve">历史学——通俗叙事让”制度性衰败”可感，微观史把结构拆成人的抉择（Ginzburg, 1980）。</w:t>
      </w:r>
      <w:r>
        <w:t xml:space="preserve"> </w:t>
      </w:r>
      <w:r>
        <w:t xml:space="preserve">心理学——权力场中的高压情境与认知偏差，比个人善恶更能解释决策崩坏（Kahneman, 2011；Zimbardo, 2007）。</w:t>
      </w:r>
      <w:r>
        <w:t xml:space="preserve"> </w:t>
      </w:r>
      <w:r>
        <w:t xml:space="preserve">博物馆学——圣地巡礼是对”难言之遗产”的现场对话，冷点比热点更接近历史肌理（Macdonald, 2009）。</w:t>
      </w:r>
      <w:r>
        <w:t xml:space="preserve"> </w:t>
      </w:r>
      <w:r>
        <w:t xml:space="preserve">政治学——绝对皇权下没有合法的反对派，派系斗争因此成为系统的呼吸方式（Tilly, 1990；Scott, 1990）。</w:t>
      </w:r>
      <w:r>
        <w:t xml:space="preserve"> </w:t>
      </w:r>
      <w:r>
        <w:t xml:space="preserve">社会学——同年、师生、乡党构成社会资本网络，网络的断裂即权力的断裂（Granovetter, 1973；Lin, 2001）。</w:t>
      </w:r>
      <w:r>
        <w:t xml:space="preserve"> </w:t>
      </w:r>
      <w:r>
        <w:t xml:space="preserve">人类学——名分、继承与互惠是隐形宪法，礼崩乐坏先于城破国亡（Fei, 1992；Geertz, 1973）。</w:t>
      </w:r>
      <w:r>
        <w:t xml:space="preserve"> </w:t>
      </w:r>
      <w:r>
        <w:t xml:space="preserve">系统科学——关键节点失效叠加多临界点，崩塌是涌现而非巧合（Barabási, 2002；Scheffer, 2009；Tainter, 1988）。</w:t>
      </w:r>
      <w:r>
        <w:t xml:space="preserve"> </w:t>
      </w:r>
      <w:r>
        <w:t xml:space="preserve">经济学——一条鞭法改参数、白银流入改供给、辽饷改预期，财政链条的脆断最诚实（Huang, 1981；von Glahn, 1996）。</w:t>
      </w:r>
      <w:r>
        <w:t xml:space="preserve"> </w:t>
      </w:r>
      <w:r>
        <w:t xml:space="preserve">地理学——空间即政治：京师—边疆轴向、航线与漕运决定帝国能调动什么（Skinner, 1977；谭其骧, 1982）。</w:t>
      </w:r>
      <w:r>
        <w:t xml:space="preserve"> </w:t>
      </w:r>
      <w:r>
        <w:t xml:space="preserve">法学——廷杖与诏狱是皇权对程序正义的制度性超越，法外之地始于朝堂（Bodde &amp; Morris, 1967；杨一凡, 1988）。</w:t>
      </w:r>
      <w:r>
        <w:t xml:space="preserve"> </w:t>
      </w:r>
      <w:r>
        <w:t xml:space="preserve">军事学——卫所空转、火器代差、防御链衰变，安全成本随时间指数上升（Lorge, 2005；顾诚, 1984）。</w:t>
      </w:r>
      <w:r>
        <w:t xml:space="preserve"> </w:t>
      </w:r>
      <w:r>
        <w:t xml:space="preserve">叙事学——本书以英雄化与沉浸感重述历史，叙事策略本身就是史学立场（White, 1987；Ryan, 2001）。</w:t>
      </w:r>
      <w:r>
        <w:t xml:space="preserve"> </w:t>
      </w:r>
      <w:r>
        <w:t xml:space="preserve">性别研究——缺席不是事实而是档案建构；看见沉默，比填满名单更重要（Ko, 1994；Mann, 1997）。</w:t>
      </w:r>
      <w:r>
        <w:t xml:space="preserve"> </w:t>
      </w:r>
      <w:r>
        <w:t xml:space="preserve">思想史——心学把真理的裁判权收回到个体心中，而朝廷崇道则示范了思想如何被权力私有化（de Bary, 1981）。</w:t>
      </w:r>
      <w:r>
        <w:t xml:space="preserve"> </w:t>
      </w:r>
      <w:r>
        <w:t xml:space="preserve">国际关系——天下秩序是一套以名分换和平的账本，朝贡、封贡与战争是它的三种结算方式（Fairbank, 1968）。</w:t>
      </w:r>
      <w:r>
        <w:t xml:space="preserve"> </w:t>
      </w:r>
      <w:r>
        <w:t xml:space="preserve">科学史——科举落榜者用二十七年写出的《本草纲目》，是”正道”之外的另一种传世（Nappi, 2009）。</w:t>
      </w:r>
      <w:r>
        <w:t xml:space="preserve"> </w:t>
      </w:r>
      <w:r>
        <w:t xml:space="preserve">艺术——体制拒绝了他的抱负，历史接收了他的笔墨：失意者的出口最灿烂（Cahill, 1982）。</w:t>
      </w:r>
      <w:r>
        <w:t xml:space="preserve"> </w:t>
      </w:r>
      <w:r>
        <w:t xml:space="preserve">传播学——妖书案与点将录证明：政治信息的价值不取决于真假，且不可回收（Kuhn, 1990）。</w:t>
      </w:r>
      <w:r>
        <w:t xml:space="preserve"> </w:t>
      </w:r>
      <w:r>
        <w:t xml:space="preserve">综合——把支点从”我觉得”挪到”数据说”，为下一次更公允的追问留出接口（Kuhn, 1962）。</w:t>
      </w:r>
    </w:p>
    <w:p>
      <w:pPr>
        <w:pStyle w:val="BodyText"/>
      </w:pPr>
      <w:r>
        <w:t xml:space="preserve">方法论的回声。本报告本身即一次范式实验：用知识图谱把一部通俗史书转化为可计算的网络，再用十九学科透镜重新讲述。库恩（Kuhn, 1962）指出，范式革新不在于回答旧问题，而在于</w:t>
      </w:r>
      <w:r>
        <w:rPr>
          <w:bCs/>
          <w:b/>
        </w:rPr>
        <w:t xml:space="preserve">让新问题变得可见</w:t>
      </w:r>
      <w:r>
        <w:t xml:space="preserve">；阿伯特（Abbott, 2001）的”时间重要”提醒我们，事件不是静态节点，而是沿时间序列展开的因果链。本书抽取的”按章—按年”双重坐标，正是为这种过程社会学分析预留的接口。</w:t>
      </w:r>
    </w:p>
    <w:p>
      <w:pPr>
        <w:pStyle w:val="BodyText"/>
      </w:pPr>
      <w:r>
        <w:t xml:space="preserve">诚实的边界。十九镜都不是终点。数据里女性近乎缺席、民变仅 30 起、43.6% 的人物无任何关系——这些是覆盖度盲区，不是”明朝没有她们”。洞察报告的意义，在于把讨论的支点从”我觉得”挪到”数据说”，并为下一次更公允的追问留出接口。正如当年明月（2009）在书末所写，历史最终会告诉每一个人答案；而我们要做的，是先把问题问对。</w:t>
      </w:r>
    </w:p>
    <w:bookmarkEnd w:id="25"/>
    <w:bookmarkStart w:id="26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综合的视角看，十九面透镜并非十九个结论，而是同一种史料被不同学科同时照亮的方法论回声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26"/>
    <w:bookmarkStart w:id="27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综合为透镜，借由明史知识图谱的量化骨架，重新审视了《明朝那些事儿》关于「综合：十九镜汇流与方法论的回声」的论述。分析表明，十九面透镜并非十九个结论，而是同一种史料被不同学科同时照亮的方法论回声。这提示我们：通俗历史叙事与计算人文并非对立，而是可以相互校勘的两类证据——前者提供可被感知的经验，后者提供可被检验的结构。</w:t>
      </w:r>
    </w:p>
    <w:bookmarkEnd w:id="27"/>
    <w:bookmarkStart w:id="28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Barabási, A.-L. (2002).</w:t>
      </w:r>
      <w:r>
        <w:t xml:space="preserve"> </w:t>
      </w:r>
      <w:r>
        <w:rPr>
          <w:iCs/>
          <w:i/>
        </w:rPr>
        <w:t xml:space="preserve">Linked: The new science of networks</w:t>
      </w:r>
      <w:r>
        <w:t xml:space="preserve">. Perseus.</w:t>
      </w:r>
    </w:p>
    <w:p>
      <w:pPr>
        <w:numPr>
          <w:ilvl w:val="0"/>
          <w:numId w:val="1002"/>
        </w:numPr>
        <w:pStyle w:val="Compact"/>
      </w:pPr>
      <w:r>
        <w:t xml:space="preserve">Geertz, C. (1973).</w:t>
      </w:r>
      <w:r>
        <w:t xml:space="preserve"> </w:t>
      </w:r>
      <w:r>
        <w:rPr>
          <w:iCs/>
          <w:i/>
        </w:rPr>
        <w:t xml:space="preserve">The interpretation of cultures</w:t>
      </w:r>
      <w:r>
        <w:t xml:space="preserve">. Basic Books.</w:t>
      </w:r>
    </w:p>
    <w:p>
      <w:pPr>
        <w:numPr>
          <w:ilvl w:val="0"/>
          <w:numId w:val="1002"/>
        </w:numPr>
        <w:pStyle w:val="Compact"/>
      </w:pPr>
      <w:r>
        <w:t xml:space="preserve">Granovetter, M. S. (1973). The strength of weak ties.</w:t>
      </w:r>
      <w:r>
        <w:t xml:space="preserve"> </w:t>
      </w:r>
      <w:r>
        <w:rPr>
          <w:iCs/>
          <w:i/>
        </w:rPr>
        <w:t xml:space="preserve">American Journal of Sociology, 78</w:t>
      </w:r>
      <w:r>
        <w:t xml:space="preserve">(6), 1360–1380.</w:t>
      </w:r>
    </w:p>
    <w:p>
      <w:pPr>
        <w:numPr>
          <w:ilvl w:val="0"/>
          <w:numId w:val="1002"/>
        </w:numPr>
        <w:pStyle w:val="Compact"/>
      </w:pPr>
      <w:r>
        <w:t xml:space="preserve">Janis, I. L. (1982).</w:t>
      </w:r>
      <w:r>
        <w:t xml:space="preserve"> </w:t>
      </w:r>
      <w:r>
        <w:rPr>
          <w:iCs/>
          <w:i/>
        </w:rPr>
        <w:t xml:space="preserve">Groupthink: Psychological studies of policy decisions and fiascoes</w:t>
      </w:r>
      <w:r>
        <w:t xml:space="preserve"> </w:t>
      </w:r>
      <w:r>
        <w:t xml:space="preserve">(2nd ed.). Houghton Mifflin.</w:t>
      </w:r>
    </w:p>
    <w:p>
      <w:pPr>
        <w:numPr>
          <w:ilvl w:val="0"/>
          <w:numId w:val="1002"/>
        </w:numPr>
        <w:pStyle w:val="Compact"/>
      </w:pPr>
      <w:r>
        <w:t xml:space="preserve">Weber, M. (1947).</w:t>
      </w:r>
      <w:r>
        <w:t xml:space="preserve"> </w:t>
      </w:r>
      <w:r>
        <w:rPr>
          <w:iCs/>
          <w:i/>
        </w:rPr>
        <w:t xml:space="preserve">The theory of social and economic organization</w:t>
      </w:r>
      <w:r>
        <w:t xml:space="preserve"> </w:t>
      </w:r>
      <w:r>
        <w:t xml:space="preserve">(A. M. Henderson &amp; T. Parsons, Trans.). Free Press.</w:t>
      </w:r>
    </w:p>
    <w:p>
      <w:pPr>
        <w:numPr>
          <w:ilvl w:val="0"/>
          <w:numId w:val="1002"/>
        </w:numPr>
        <w:pStyle w:val="Compact"/>
      </w:pPr>
      <w:r>
        <w:t xml:space="preserve">Huang, R. (1981).</w:t>
      </w:r>
      <w:r>
        <w:t xml:space="preserve"> </w:t>
      </w:r>
      <w:r>
        <w:rPr>
          <w:iCs/>
          <w:i/>
        </w:rPr>
        <w:t xml:space="preserve">1587, A Year of No Significance: The Ming Dynasty in Decline</w:t>
      </w:r>
      <w:r>
        <w:t xml:space="preserve">. Yale University Press.</w:t>
      </w:r>
    </w:p>
    <w:p>
      <w:pPr>
        <w:numPr>
          <w:ilvl w:val="0"/>
          <w:numId w:val="1002"/>
        </w:numPr>
        <w:pStyle w:val="Compact"/>
      </w:pPr>
      <w:r>
        <w:t xml:space="preserve">Ginzburg, C. (1980).</w:t>
      </w:r>
      <w:r>
        <w:t xml:space="preserve"> </w:t>
      </w:r>
      <w:r>
        <w:rPr>
          <w:iCs/>
          <w:i/>
        </w:rPr>
        <w:t xml:space="preserve">The Cheese and the Worms: The Cosmos of a Sixteenth-Century Miller</w:t>
      </w:r>
      <w:r>
        <w:t xml:space="preserve">. Johns Hopkins University Press.</w:t>
      </w:r>
    </w:p>
    <w:p>
      <w:pPr>
        <w:numPr>
          <w:ilvl w:val="0"/>
          <w:numId w:val="1002"/>
        </w:numPr>
        <w:pStyle w:val="Compact"/>
      </w:pPr>
      <w:r>
        <w:t xml:space="preserve">Mote, F. W., &amp; Twitchett, D. (Eds.). (1988).</w:t>
      </w:r>
      <w:r>
        <w:t xml:space="preserve"> </w:t>
      </w:r>
      <w:r>
        <w:rPr>
          <w:iCs/>
          <w:i/>
        </w:rPr>
        <w:t xml:space="preserve">The Cambridge History of China: Volume 7, The Ming Dynasty, 1368–1644, Part 1</w:t>
      </w:r>
      <w:r>
        <w:t xml:space="preserve">. Cambridge University Press.</w:t>
      </w:r>
    </w:p>
    <w:p>
      <w:pPr>
        <w:numPr>
          <w:ilvl w:val="0"/>
          <w:numId w:val="1002"/>
        </w:numPr>
        <w:pStyle w:val="Compact"/>
      </w:pPr>
      <w:r>
        <w:t xml:space="preserve">Kahneman, D. (2011).</w:t>
      </w:r>
      <w:r>
        <w:t xml:space="preserve"> </w:t>
      </w:r>
      <w:r>
        <w:rPr>
          <w:iCs/>
          <w:i/>
        </w:rPr>
        <w:t xml:space="preserve">Thinking, Fast and Slow</w:t>
      </w:r>
      <w:r>
        <w:t xml:space="preserve">. Farrar, Straus and Giroux.</w:t>
      </w:r>
    </w:p>
    <w:p>
      <w:pPr>
        <w:numPr>
          <w:ilvl w:val="0"/>
          <w:numId w:val="1002"/>
        </w:numPr>
        <w:pStyle w:val="Compact"/>
      </w:pPr>
      <w:r>
        <w:t xml:space="preserve">Zimbardo, P. (2007).</w:t>
      </w:r>
      <w:r>
        <w:t xml:space="preserve"> </w:t>
      </w:r>
      <w:r>
        <w:rPr>
          <w:iCs/>
          <w:i/>
        </w:rPr>
        <w:t xml:space="preserve">The Lucifer Effect: Understanding How Good People Turn Evil</w:t>
      </w:r>
      <w:r>
        <w:t xml:space="preserve">. Random House.</w:t>
      </w:r>
    </w:p>
    <w:p>
      <w:pPr>
        <w:numPr>
          <w:ilvl w:val="0"/>
          <w:numId w:val="1002"/>
        </w:numPr>
        <w:pStyle w:val="Compact"/>
      </w:pPr>
      <w:r>
        <w:t xml:space="preserve">Macdonald, S. (2009).</w:t>
      </w:r>
      <w:r>
        <w:t xml:space="preserve"> </w:t>
      </w:r>
      <w:r>
        <w:rPr>
          <w:iCs/>
          <w:i/>
        </w:rPr>
        <w:t xml:space="preserve">Difficult Heritage: Negotiating the Nazi Past in Nuremberg and Beyond</w:t>
      </w:r>
      <w:r>
        <w:t xml:space="preserve">. Routledge.</w:t>
      </w:r>
    </w:p>
    <w:p>
      <w:pPr>
        <w:numPr>
          <w:ilvl w:val="0"/>
          <w:numId w:val="1002"/>
        </w:numPr>
        <w:pStyle w:val="Compact"/>
      </w:pPr>
      <w:r>
        <w:t xml:space="preserve">Kuhn, P. A. (1990).</w:t>
      </w:r>
      <w:r>
        <w:t xml:space="preserve"> </w:t>
      </w:r>
      <w:r>
        <w:rPr>
          <w:iCs/>
          <w:i/>
        </w:rPr>
        <w:t xml:space="preserve">Soulstealers: The Chinese Sorcery Scare of 1768</w:t>
      </w:r>
      <w:r>
        <w:t xml:space="preserve">. Harvard University Press.</w:t>
      </w:r>
    </w:p>
    <w:p>
      <w:pPr>
        <w:numPr>
          <w:ilvl w:val="0"/>
          <w:numId w:val="1002"/>
        </w:numPr>
        <w:pStyle w:val="Compact"/>
      </w:pPr>
      <w:r>
        <w:t xml:space="preserve">Tilly, C. (1990).</w:t>
      </w:r>
      <w:r>
        <w:t xml:space="preserve"> </w:t>
      </w:r>
      <w:r>
        <w:rPr>
          <w:iCs/>
          <w:i/>
        </w:rPr>
        <w:t xml:space="preserve">Coercion, Capital, and European States, AD 990–1990</w:t>
      </w:r>
      <w:r>
        <w:t xml:space="preserve">. Basil Blackwell.</w:t>
      </w:r>
    </w:p>
    <w:p>
      <w:pPr>
        <w:numPr>
          <w:ilvl w:val="0"/>
          <w:numId w:val="1002"/>
        </w:numPr>
        <w:pStyle w:val="Compact"/>
      </w:pPr>
      <w:r>
        <w:t xml:space="preserve">Lin, N. (2001).</w:t>
      </w:r>
      <w:r>
        <w:t xml:space="preserve"> </w:t>
      </w:r>
      <w:r>
        <w:rPr>
          <w:iCs/>
          <w:i/>
        </w:rPr>
        <w:t xml:space="preserve">Social Capital: A Theory of Social Structure and Action</w:t>
      </w:r>
      <w:r>
        <w:t xml:space="preserve">. Cambridge University Press.</w:t>
      </w:r>
    </w:p>
    <w:p>
      <w:pPr>
        <w:numPr>
          <w:ilvl w:val="0"/>
          <w:numId w:val="1002"/>
        </w:numPr>
        <w:pStyle w:val="Compact"/>
      </w:pPr>
      <w:r>
        <w:t xml:space="preserve">Scott, J. C. (1990).</w:t>
      </w:r>
      <w:r>
        <w:t xml:space="preserve"> </w:t>
      </w:r>
      <w:r>
        <w:rPr>
          <w:iCs/>
          <w:i/>
        </w:rPr>
        <w:t xml:space="preserve">Domination and the Arts of Resistance: Hidden Transcripts</w:t>
      </w:r>
      <w:r>
        <w:t xml:space="preserve">. Yale University Press.</w:t>
      </w:r>
    </w:p>
    <w:p>
      <w:pPr>
        <w:numPr>
          <w:ilvl w:val="0"/>
          <w:numId w:val="1002"/>
        </w:numPr>
        <w:pStyle w:val="Compact"/>
      </w:pPr>
      <w:r>
        <w:t xml:space="preserve">Fei, X. (1992).</w:t>
      </w:r>
      <w:r>
        <w:t xml:space="preserve"> </w:t>
      </w:r>
      <w:r>
        <w:rPr>
          <w:iCs/>
          <w:i/>
        </w:rPr>
        <w:t xml:space="preserve">From the Soil: The Foundations of Chinese Society</w:t>
      </w:r>
      <w:r>
        <w:t xml:space="preserve"> </w:t>
      </w:r>
      <w:r>
        <w:t xml:space="preserve">(G. G. Hamilton &amp; W. Zheng, Trans.). University of California Press.</w:t>
      </w:r>
    </w:p>
    <w:p>
      <w:pPr>
        <w:numPr>
          <w:ilvl w:val="0"/>
          <w:numId w:val="1002"/>
        </w:numPr>
        <w:pStyle w:val="Compact"/>
      </w:pPr>
      <w:r>
        <w:t xml:space="preserve">Yan, Y. (1996).</w:t>
      </w:r>
      <w:r>
        <w:t xml:space="preserve"> </w:t>
      </w:r>
      <w:r>
        <w:rPr>
          <w:iCs/>
          <w:i/>
        </w:rPr>
        <w:t xml:space="preserve">The Flow of Gifts: Reciprocity and Social Networks in a Chinese Village</w:t>
      </w:r>
      <w:r>
        <w:t xml:space="preserve">. Stanford University Press.</w:t>
      </w:r>
    </w:p>
    <w:p>
      <w:pPr>
        <w:numPr>
          <w:ilvl w:val="0"/>
          <w:numId w:val="1002"/>
        </w:numPr>
        <w:pStyle w:val="Compact"/>
      </w:pPr>
      <w:r>
        <w:t xml:space="preserve">Tainter, J. A. (1988).</w:t>
      </w:r>
      <w:r>
        <w:t xml:space="preserve"> </w:t>
      </w:r>
      <w:r>
        <w:rPr>
          <w:iCs/>
          <w:i/>
        </w:rPr>
        <w:t xml:space="preserve">The Collapse of Complex Societies</w:t>
      </w:r>
      <w:r>
        <w:t xml:space="preserve">. Cambridge University Press.</w:t>
      </w:r>
    </w:p>
    <w:p>
      <w:pPr>
        <w:numPr>
          <w:ilvl w:val="0"/>
          <w:numId w:val="1002"/>
        </w:numPr>
        <w:pStyle w:val="Compact"/>
      </w:pPr>
      <w:r>
        <w:t xml:space="preserve">Scheffer, M. (2009).</w:t>
      </w:r>
      <w:r>
        <w:t xml:space="preserve"> </w:t>
      </w:r>
      <w:r>
        <w:rPr>
          <w:iCs/>
          <w:i/>
        </w:rPr>
        <w:t xml:space="preserve">Critical Transitions in Nature and Society</w:t>
      </w:r>
      <w:r>
        <w:t xml:space="preserve">. Princeton University Press.</w:t>
      </w:r>
    </w:p>
    <w:p>
      <w:pPr>
        <w:numPr>
          <w:ilvl w:val="0"/>
          <w:numId w:val="1002"/>
        </w:numPr>
        <w:pStyle w:val="Compact"/>
      </w:pPr>
      <w:r>
        <w:t xml:space="preserve">Kuhn, T. S. (1962).</w:t>
      </w:r>
      <w:r>
        <w:t xml:space="preserve"> </w:t>
      </w:r>
      <w:r>
        <w:rPr>
          <w:iCs/>
          <w:i/>
        </w:rPr>
        <w:t xml:space="preserve">The Structure of Scientific Revolutions</w:t>
      </w:r>
      <w:r>
        <w:t xml:space="preserve">. University of Chicago Press.</w:t>
      </w:r>
    </w:p>
    <w:p>
      <w:pPr>
        <w:numPr>
          <w:ilvl w:val="0"/>
          <w:numId w:val="1002"/>
        </w:numPr>
        <w:pStyle w:val="Compact"/>
      </w:pPr>
      <w:r>
        <w:t xml:space="preserve">Abbott, A. (2001).</w:t>
      </w:r>
      <w:r>
        <w:t xml:space="preserve"> </w:t>
      </w:r>
      <w:r>
        <w:rPr>
          <w:iCs/>
          <w:i/>
        </w:rPr>
        <w:t xml:space="preserve">Time Matters: On Theory and Method</w:t>
      </w:r>
      <w:r>
        <w:t xml:space="preserve">. University of Chicago Press.</w:t>
      </w:r>
    </w:p>
    <w:p>
      <w:pPr>
        <w:numPr>
          <w:ilvl w:val="0"/>
          <w:numId w:val="1002"/>
        </w:numPr>
        <w:pStyle w:val="Compact"/>
      </w:pPr>
      <w:r>
        <w:t xml:space="preserve">Cahill, J. (1982).</w:t>
      </w:r>
      <w:r>
        <w:t xml:space="preserve"> </w:t>
      </w:r>
      <w:r>
        <w:rPr>
          <w:iCs/>
          <w:i/>
        </w:rPr>
        <w:t xml:space="preserve">The distant mountains: Chinese painting of the late Ming dynasty, 1570–1644</w:t>
      </w:r>
      <w:r>
        <w:t xml:space="preserve">. Weatherhill.</w:t>
      </w:r>
    </w:p>
    <w:p>
      <w:pPr>
        <w:numPr>
          <w:ilvl w:val="0"/>
          <w:numId w:val="1002"/>
        </w:numPr>
        <w:pStyle w:val="Compact"/>
      </w:pPr>
      <w:r>
        <w:t xml:space="preserve">de Bary, Wm. T. (1981).</w:t>
      </w:r>
      <w:r>
        <w:t xml:space="preserve"> </w:t>
      </w:r>
      <w:r>
        <w:rPr>
          <w:iCs/>
          <w:i/>
        </w:rPr>
        <w:t xml:space="preserve">Neo-Confucian orthodoxy and the learning of the mind-and-heart</w:t>
      </w:r>
      <w:r>
        <w:t xml:space="preserve">. Columbia University Press.</w:t>
      </w:r>
    </w:p>
    <w:p>
      <w:pPr>
        <w:numPr>
          <w:ilvl w:val="0"/>
          <w:numId w:val="1002"/>
        </w:numPr>
        <w:pStyle w:val="Compact"/>
      </w:pPr>
      <w:r>
        <w:t xml:space="preserve">Fairbank, J. K. (Ed.). (1968).</w:t>
      </w:r>
      <w:r>
        <w:t xml:space="preserve"> </w:t>
      </w:r>
      <w:r>
        <w:rPr>
          <w:iCs/>
          <w:i/>
        </w:rPr>
        <w:t xml:space="preserve">The Chinese world order: Traditional China’s foreign relations</w:t>
      </w:r>
      <w:r>
        <w:t xml:space="preserve">. Harvard University Press.</w:t>
      </w:r>
    </w:p>
    <w:p>
      <w:pPr>
        <w:numPr>
          <w:ilvl w:val="0"/>
          <w:numId w:val="1002"/>
        </w:numPr>
        <w:pStyle w:val="Compact"/>
      </w:pPr>
      <w:r>
        <w:t xml:space="preserve">Huang, R. (1974).</w:t>
      </w:r>
      <w:r>
        <w:t xml:space="preserve"> </w:t>
      </w:r>
      <w:r>
        <w:rPr>
          <w:iCs/>
          <w:i/>
        </w:rPr>
        <w:t xml:space="preserve">Taxation and Governmental Finance in Sixteenth-Century Ming China</w:t>
      </w:r>
      <w:r>
        <w:t xml:space="preserve">. Cambridge University Press.</w:t>
      </w:r>
    </w:p>
    <w:p>
      <w:pPr>
        <w:numPr>
          <w:ilvl w:val="0"/>
          <w:numId w:val="1002"/>
        </w:numPr>
        <w:pStyle w:val="Compact"/>
      </w:pPr>
      <w:r>
        <w:t xml:space="preserve">von Glahn, R. (1996).</w:t>
      </w:r>
      <w:r>
        <w:t xml:space="preserve"> </w:t>
      </w:r>
      <w:r>
        <w:rPr>
          <w:iCs/>
          <w:i/>
        </w:rPr>
        <w:t xml:space="preserve">Fountain of Fortune: Money and Monetary Policy in China, 1000–1700</w:t>
      </w:r>
      <w:r>
        <w:t xml:space="preserve">. University of California Press.</w:t>
      </w:r>
    </w:p>
    <w:p>
      <w:pPr>
        <w:numPr>
          <w:ilvl w:val="0"/>
          <w:numId w:val="1002"/>
        </w:numPr>
        <w:pStyle w:val="Compact"/>
      </w:pPr>
      <w:r>
        <w:t xml:space="preserve">Pomeranz, K. (2000).</w:t>
      </w:r>
      <w:r>
        <w:t xml:space="preserve"> </w:t>
      </w:r>
      <w:r>
        <w:rPr>
          <w:iCs/>
          <w:i/>
        </w:rPr>
        <w:t xml:space="preserve">The Great Divergence: China, Europe, and the Making of the Modern World Economy</w:t>
      </w:r>
      <w:r>
        <w:t xml:space="preserve">. Princeton University Press.</w:t>
      </w:r>
    </w:p>
    <w:p>
      <w:pPr>
        <w:numPr>
          <w:ilvl w:val="0"/>
          <w:numId w:val="1002"/>
        </w:numPr>
        <w:pStyle w:val="Compact"/>
      </w:pPr>
      <w:r>
        <w:t xml:space="preserve">Skinner, G. W. (Ed.). (1977).</w:t>
      </w:r>
      <w:r>
        <w:t xml:space="preserve"> </w:t>
      </w:r>
      <w:r>
        <w:rPr>
          <w:iCs/>
          <w:i/>
        </w:rPr>
        <w:t xml:space="preserve">The City in Late Imperial China</w:t>
      </w:r>
      <w:r>
        <w:t xml:space="preserve">. Stanford University Press.</w:t>
      </w:r>
    </w:p>
    <w:p>
      <w:pPr>
        <w:numPr>
          <w:ilvl w:val="0"/>
          <w:numId w:val="1002"/>
        </w:numPr>
        <w:pStyle w:val="Compact"/>
      </w:pPr>
      <w:r>
        <w:t xml:space="preserve">Bodde, D., &amp; Morris, C. (1967).</w:t>
      </w:r>
      <w:r>
        <w:t xml:space="preserve"> </w:t>
      </w:r>
      <w:r>
        <w:rPr>
          <w:iCs/>
          <w:i/>
        </w:rPr>
        <w:t xml:space="preserve">Law in Imperial China: Exemplified by 190 Ch’ing Dynasty Cases</w:t>
      </w:r>
      <w:r>
        <w:t xml:space="preserve">. Harvard University Press.</w:t>
      </w:r>
    </w:p>
    <w:p>
      <w:pPr>
        <w:numPr>
          <w:ilvl w:val="0"/>
          <w:numId w:val="1002"/>
        </w:numPr>
        <w:pStyle w:val="Compact"/>
      </w:pPr>
      <w:r>
        <w:t xml:space="preserve">Ch’ü, T.-t. (1961).</w:t>
      </w:r>
      <w:r>
        <w:t xml:space="preserve"> </w:t>
      </w:r>
      <w:r>
        <w:rPr>
          <w:iCs/>
          <w:i/>
        </w:rPr>
        <w:t xml:space="preserve">Law and Society in Traditional China</w:t>
      </w:r>
      <w:r>
        <w:t xml:space="preserve">. Mouton.</w:t>
      </w:r>
    </w:p>
    <w:p>
      <w:pPr>
        <w:numPr>
          <w:ilvl w:val="0"/>
          <w:numId w:val="1002"/>
        </w:numPr>
        <w:pStyle w:val="Compact"/>
      </w:pPr>
      <w:r>
        <w:t xml:space="preserve">Lorge, P. (2005).</w:t>
      </w:r>
      <w:r>
        <w:t xml:space="preserve"> </w:t>
      </w:r>
      <w:r>
        <w:rPr>
          <w:iCs/>
          <w:i/>
        </w:rPr>
        <w:t xml:space="preserve">War, Politics and Society in Early Modern China, 900–1795</w:t>
      </w:r>
      <w:r>
        <w:t xml:space="preserve">. Routledge.</w:t>
      </w:r>
    </w:p>
    <w:p>
      <w:pPr>
        <w:numPr>
          <w:ilvl w:val="0"/>
          <w:numId w:val="1002"/>
        </w:numPr>
        <w:pStyle w:val="Compact"/>
      </w:pPr>
      <w:r>
        <w:t xml:space="preserve">Andrade, T. (2016).</w:t>
      </w:r>
      <w:r>
        <w:t xml:space="preserve"> </w:t>
      </w:r>
      <w:r>
        <w:rPr>
          <w:iCs/>
          <w:i/>
        </w:rPr>
        <w:t xml:space="preserve">The Gunpowder Age: China, Military Innovation, and the Rise of the West in World History</w:t>
      </w:r>
      <w:r>
        <w:t xml:space="preserve">. Princeton University Press.</w:t>
      </w:r>
    </w:p>
    <w:p>
      <w:pPr>
        <w:numPr>
          <w:ilvl w:val="0"/>
          <w:numId w:val="1002"/>
        </w:numPr>
        <w:pStyle w:val="Compact"/>
      </w:pPr>
      <w:r>
        <w:t xml:space="preserve">White, H. (1987).</w:t>
      </w:r>
      <w:r>
        <w:t xml:space="preserve"> </w:t>
      </w:r>
      <w:r>
        <w:rPr>
          <w:iCs/>
          <w:i/>
        </w:rPr>
        <w:t xml:space="preserve">The Content of the Form: Narrative Discourse and Historical Representation</w:t>
      </w:r>
      <w:r>
        <w:t xml:space="preserve">. Johns Hopkins University Press.</w:t>
      </w:r>
    </w:p>
    <w:p>
      <w:pPr>
        <w:numPr>
          <w:ilvl w:val="0"/>
          <w:numId w:val="1002"/>
        </w:numPr>
        <w:pStyle w:val="Compact"/>
      </w:pPr>
      <w:r>
        <w:t xml:space="preserve">Ryan, M.-L. (2001).</w:t>
      </w:r>
      <w:r>
        <w:t xml:space="preserve"> </w:t>
      </w:r>
      <w:r>
        <w:rPr>
          <w:iCs/>
          <w:i/>
        </w:rPr>
        <w:t xml:space="preserve">Narrative as Virtual Reality: Immersion and Interactivity in Literature and Electronic Media</w:t>
      </w:r>
      <w:r>
        <w:t xml:space="preserve">. Johns Hopkins University Press.</w:t>
      </w:r>
    </w:p>
    <w:p>
      <w:pPr>
        <w:numPr>
          <w:ilvl w:val="0"/>
          <w:numId w:val="1002"/>
        </w:numPr>
        <w:pStyle w:val="Compact"/>
      </w:pPr>
      <w:r>
        <w:t xml:space="preserve">Ko, D. (1994).</w:t>
      </w:r>
      <w:r>
        <w:t xml:space="preserve"> </w:t>
      </w:r>
      <w:r>
        <w:rPr>
          <w:iCs/>
          <w:i/>
        </w:rPr>
        <w:t xml:space="preserve">Teachers of the Inner Chambers: Women and Culture in Seventeenth-Century China</w:t>
      </w:r>
      <w:r>
        <w:t xml:space="preserve">. Stanford University Press.</w:t>
      </w:r>
    </w:p>
    <w:p>
      <w:pPr>
        <w:numPr>
          <w:ilvl w:val="0"/>
          <w:numId w:val="1002"/>
        </w:numPr>
        <w:pStyle w:val="Compact"/>
      </w:pPr>
      <w:r>
        <w:t xml:space="preserve">Mann, S. (1997).</w:t>
      </w:r>
      <w:r>
        <w:t xml:space="preserve"> </w:t>
      </w:r>
      <w:r>
        <w:rPr>
          <w:iCs/>
          <w:i/>
        </w:rPr>
        <w:t xml:space="preserve">Precious Records: Women in China’s Long Eighteenth Century</w:t>
      </w:r>
      <w:r>
        <w:t xml:space="preserve">. Stanford University Press.</w:t>
      </w:r>
    </w:p>
    <w:p>
      <w:pPr>
        <w:numPr>
          <w:ilvl w:val="0"/>
          <w:numId w:val="1002"/>
        </w:numPr>
        <w:pStyle w:val="Compact"/>
      </w:pPr>
      <w:r>
        <w:t xml:space="preserve">Mann, S. (2007).</w:t>
      </w:r>
      <w:r>
        <w:t xml:space="preserve"> </w:t>
      </w:r>
      <w:r>
        <w:rPr>
          <w:iCs/>
          <w:i/>
        </w:rPr>
        <w:t xml:space="preserve">The Talented Women of the Zhang Family</w:t>
      </w:r>
      <w:r>
        <w:t xml:space="preserve">. University of California Press.</w:t>
      </w:r>
    </w:p>
    <w:p>
      <w:pPr>
        <w:numPr>
          <w:ilvl w:val="0"/>
          <w:numId w:val="1002"/>
        </w:numPr>
        <w:pStyle w:val="Compact"/>
      </w:pPr>
      <w:r>
        <w:t xml:space="preserve">Mann, S., &amp; Cheng, Y. (Eds.). (2001).</w:t>
      </w:r>
      <w:r>
        <w:t xml:space="preserve"> </w:t>
      </w:r>
      <w:r>
        <w:rPr>
          <w:iCs/>
          <w:i/>
        </w:rPr>
        <w:t xml:space="preserve">Under Confucian Eyes: Writings on Gender in Chinese History</w:t>
      </w:r>
      <w:r>
        <w:t xml:space="preserve">. University of California Press.</w:t>
      </w:r>
    </w:p>
    <w:p>
      <w:pPr>
        <w:numPr>
          <w:ilvl w:val="0"/>
          <w:numId w:val="1002"/>
        </w:numPr>
        <w:pStyle w:val="Compact"/>
      </w:pPr>
      <w:r>
        <w:t xml:space="preserve">Nappi, C. (2009).</w:t>
      </w:r>
      <w:r>
        <w:t xml:space="preserve"> </w:t>
      </w:r>
      <w:r>
        <w:rPr>
          <w:iCs/>
          <w:i/>
        </w:rPr>
        <w:t xml:space="preserve">The monkey and the inkpot: Natural history and its transformations in early modern China</w:t>
      </w:r>
      <w:r>
        <w:t xml:space="preserve">. Harvard University Press.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2026-10-01T06:51:43Z</dcterms:created>
  <dcterms:modified xsi:type="dcterms:W3CDTF">2026-10-01T06:51:43Z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