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9.png" ContentType="image/png"/>
  <Override PartName="/word/media/rId82.png" ContentType="image/png"/>
  <Override PartName="/word/media/rId26.png" ContentType="image/png"/>
  <Override PartName="/word/media/rId8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Орлов</w:t>
      </w:r>
      <w:r>
        <w:t xml:space="preserve"> </w:t>
      </w:r>
      <w:r>
        <w:t xml:space="preserve">Илья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8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-fig. 1).</w:t>
      </w:r>
    </w:p>
    <w:p>
      <w:pPr>
        <w:pStyle w:val="CaptionedFigure"/>
      </w:pPr>
      <w:r>
        <w:drawing>
          <wp:inline>
            <wp:extent cx="3733800" cy="487939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637152"/>
            <wp:effectExtent b="0" l="0" r="0" t="0"/>
            <wp:docPr descr="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нее подпрограмму, теперь она вычисляет значение функции для выражения f(g(x)) (рис. -fig. 3).</w:t>
      </w:r>
    </w:p>
    <w:p>
      <w:pPr>
        <w:pStyle w:val="CaptionedFigure"/>
      </w:pPr>
      <w:r>
        <w:drawing>
          <wp:inline>
            <wp:extent cx="3733800" cy="588873"/>
            <wp:effectExtent b="0" l="0" r="0" t="0"/>
            <wp:docPr descr="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'f(g(x))='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"f(g(x))"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Call the sub-calculation subroutine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f(x) = 2x + 7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 g(x) = 3x - 1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g(x) = 3x - 1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</w:p>
    <w:bookmarkStart w:id="47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-fig. 4).</w:t>
      </w:r>
    </w:p>
    <w:p>
      <w:pPr>
        <w:pStyle w:val="CaptionedFigure"/>
      </w:pPr>
      <w:r>
        <w:drawing>
          <wp:inline>
            <wp:extent cx="3733800" cy="2370922"/>
            <wp:effectExtent b="0" l="0" r="0" t="0"/>
            <wp:docPr descr="Запуск программы в отладчик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p>
      <w:pPr>
        <w:pStyle w:val="BodyText"/>
      </w:pPr>
      <w:r>
        <w:t xml:space="preserve">Запустив программу командой run, я убедился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2845601"/>
            <wp:effectExtent b="0" l="0" r="0" t="0"/>
            <wp:docPr descr="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брейкпоинт на метку _start и снова запускаю отладку (рис. -fig. 6).</w:t>
      </w:r>
    </w:p>
    <w:p>
      <w:pPr>
        <w:pStyle w:val="CaptionedFigure"/>
      </w:pPr>
      <w:r>
        <w:drawing>
          <wp:inline>
            <wp:extent cx="3733800" cy="2591813"/>
            <wp:effectExtent b="0" l="0" r="0" t="0"/>
            <wp:docPr descr="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 (рис. -fig. 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2242855"/>
            <wp:effectExtent b="0" l="0" r="0" t="0"/>
            <wp:docPr descr="Дисассимил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8).</w:t>
      </w:r>
    </w:p>
    <w:p>
      <w:pPr>
        <w:pStyle w:val="CaptionedFigure"/>
      </w:pPr>
      <w:r>
        <w:drawing>
          <wp:inline>
            <wp:extent cx="3733800" cy="1511586"/>
            <wp:effectExtent b="0" l="0" r="0" t="0"/>
            <wp:docPr descr="Режим псевдографи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47"/>
    <w:bookmarkStart w:id="54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брейкпоинт сохранился (рис. -fig. 9).</w:t>
      </w:r>
    </w:p>
    <w:p>
      <w:pPr>
        <w:pStyle w:val="CaptionedFigure"/>
      </w:pPr>
      <w:r>
        <w:drawing>
          <wp:inline>
            <wp:extent cx="3733800" cy="1689243"/>
            <wp:effectExtent b="0" l="0" r="0" t="0"/>
            <wp:docPr descr="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p>
      <w:pPr>
        <w:pStyle w:val="BodyText"/>
      </w:pPr>
      <w:r>
        <w:t xml:space="preserve">Устаналиваю еще одну точку останова по адресу инструкции (рис. -fig. 10).</w:t>
      </w:r>
    </w:p>
    <w:p>
      <w:pPr>
        <w:pStyle w:val="CaptionedFigure"/>
      </w:pPr>
      <w:r>
        <w:drawing>
          <wp:inline>
            <wp:extent cx="3733800" cy="1689243"/>
            <wp:effectExtent b="0" l="0" r="0" t="0"/>
            <wp:docPr descr="Добавление второй точки останов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останова</w:t>
      </w:r>
    </w:p>
    <w:bookmarkEnd w:id="54"/>
    <w:bookmarkStart w:id="70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 (рис. -fig. 11).</w:t>
      </w:r>
    </w:p>
    <w:p>
      <w:pPr>
        <w:pStyle w:val="CaptionedFigure"/>
      </w:pPr>
      <w:r>
        <w:drawing>
          <wp:inline>
            <wp:extent cx="3733800" cy="1847327"/>
            <wp:effectExtent b="0" l="0" r="0" t="0"/>
            <wp:docPr descr="Просмотр содержимого регистров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12).</w:t>
      </w:r>
    </w:p>
    <w:p>
      <w:pPr>
        <w:pStyle w:val="CaptionedFigure"/>
      </w:pPr>
      <w:r>
        <w:drawing>
          <wp:inline>
            <wp:extent cx="3733800" cy="1847327"/>
            <wp:effectExtent b="0" l="0" r="0" t="0"/>
            <wp:docPr descr="Просмотр содержимого переменных двумя способами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 (рис. -fig. 13).</w:t>
      </w:r>
    </w:p>
    <w:p>
      <w:pPr>
        <w:pStyle w:val="CaptionedFigure"/>
      </w:pPr>
      <w:r>
        <w:drawing>
          <wp:inline>
            <wp:extent cx="3733800" cy="1847327"/>
            <wp:effectExtent b="0" l="0" r="0" t="0"/>
            <wp:docPr descr="Изменение содержимого переменных двумя способами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14).</w:t>
      </w:r>
    </w:p>
    <w:p>
      <w:pPr>
        <w:pStyle w:val="CaptionedFigure"/>
      </w:pPr>
      <w:r>
        <w:drawing>
          <wp:inline>
            <wp:extent cx="3733800" cy="1015424"/>
            <wp:effectExtent b="0" l="0" r="0" t="0"/>
            <wp:docPr descr="Просмотр значения регистра разными представлениями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15).</w:t>
      </w:r>
    </w:p>
    <w:p>
      <w:pPr>
        <w:pStyle w:val="CaptionedFigure"/>
      </w:pPr>
      <w:r>
        <w:drawing>
          <wp:inline>
            <wp:extent cx="3733800" cy="796257"/>
            <wp:effectExtent b="0" l="0" r="0" t="0"/>
            <wp:docPr descr="Примеры использования команды set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70"/>
    <w:bookmarkStart w:id="77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и создаю исполняемый файл с файлом листинга и отладки (рис. -fig. 16).</w:t>
      </w:r>
    </w:p>
    <w:p>
      <w:pPr>
        <w:pStyle w:val="CaptionedFigure"/>
      </w:pPr>
      <w:r>
        <w:drawing>
          <wp:inline>
            <wp:extent cx="3733800" cy="490960"/>
            <wp:effectExtent b="0" l="0" r="0" t="0"/>
            <wp:docPr descr="Подготовка новой программы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брейкпопнт и запускаю отладку. Проверяю работу стека,</w:t>
      </w:r>
      <w:r>
        <w:t xml:space="preserve"> </w:t>
      </w:r>
      <w:r>
        <w:t xml:space="preserve">изменяя аргумент команды просмотра регистра esp на +4, число обусловлено разрядностью системы, а указатель void занимает как раз 4 байта,</w:t>
      </w:r>
      <w:r>
        <w:t xml:space="preserve"> </w:t>
      </w:r>
      <w:r>
        <w:t xml:space="preserve">ошибка при аргументе +24 означает, что аргументы на вход программы закончились. (рис. -fig. 17).</w:t>
      </w:r>
    </w:p>
    <w:p>
      <w:pPr>
        <w:pStyle w:val="CaptionedFigure"/>
      </w:pPr>
      <w:r>
        <w:drawing>
          <wp:inline>
            <wp:extent cx="3733800" cy="2391626"/>
            <wp:effectExtent b="0" l="0" r="0" t="0"/>
            <wp:docPr descr="Проверка работы стека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77"/>
    <w:bookmarkEnd w:id="78"/>
    <w:bookmarkStart w:id="88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предыдущей лабораторной работы с использованием подпрограммы (рис. -fig. 18).</w:t>
      </w:r>
    </w:p>
    <w:p>
      <w:pPr>
        <w:pStyle w:val="CaptionedFigure"/>
      </w:pPr>
      <w:r>
        <w:drawing>
          <wp:inline>
            <wp:extent cx="3733800" cy="1916551"/>
            <wp:effectExtent b="0" l="0" r="0" t="0"/>
            <wp:docPr descr="Измененная программа предыдущей лабораторной работы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3(x + 2)"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</w:t>
      </w:r>
      <w:r>
        <w:rPr>
          <w:rStyle w:val="ErrorTok"/>
        </w:rPr>
        <w:t xml:space="preserve">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calculate_function: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ControlFlowTok"/>
        </w:rPr>
        <w:t xml:space="preserve">ret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jle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calculate_function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dec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next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режике отладичка и пошагово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</w:t>
      </w:r>
      <w:r>
        <w:t xml:space="preserve"> </w:t>
      </w:r>
      <w:r>
        <w:t xml:space="preserve">Значение регистра ebx не обновляется напрямую, поэтому результат программа неверно подсчитывает функцию (рис. -fig. 19).</w:t>
      </w:r>
    </w:p>
    <w:p>
      <w:pPr>
        <w:pStyle w:val="CaptionedFigure"/>
      </w:pPr>
      <w:r>
        <w:drawing>
          <wp:inline>
            <wp:extent cx="3733800" cy="2795148"/>
            <wp:effectExtent b="0" l="0" r="0" t="0"/>
            <wp:docPr descr="Поиск ошибки в программе через пошаговую отладку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-fig. 20).</w:t>
      </w:r>
    </w:p>
    <w:p>
      <w:pPr>
        <w:pStyle w:val="CaptionedFigure"/>
      </w:pPr>
      <w:r>
        <w:drawing>
          <wp:inline>
            <wp:extent cx="3733800" cy="384031"/>
            <wp:effectExtent b="0" l="0" r="0" t="0"/>
            <wp:docPr descr="Проверка корректировок в программме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корректировок в программме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</w:t>
      </w:r>
      <w:r>
        <w:t xml:space="preserve"> </w:t>
      </w:r>
      <w:r>
        <w:t xml:space="preserve">при поомщи GDB и его основными возможностями.</w:t>
      </w:r>
    </w:p>
    <w:bookmarkEnd w:id="90"/>
    <w:bookmarkStart w:id="9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1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2">
        <w:r>
          <w:rPr>
            <w:rStyle w:val="Hyperlink"/>
          </w:rPr>
          <w:t xml:space="preserve">Лабораторная работа №9</w:t>
        </w:r>
      </w:hyperlink>
    </w:p>
    <w:p>
      <w:pPr>
        <w:numPr>
          <w:ilvl w:val="0"/>
          <w:numId w:val="1004"/>
        </w:numPr>
        <w:pStyle w:val="Compact"/>
      </w:pPr>
      <w:hyperlink r:id="rId93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85" Target="media/rId8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91" Target="https://esystem.rudn.ru/course/view.php?id=112" TargetMode="External" /><Relationship Type="http://schemas.openxmlformats.org/officeDocument/2006/relationships/hyperlink" Id="rId93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2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esystem.rudn.ru/course/view.php?id=112" TargetMode="External" /><Relationship Type="http://schemas.openxmlformats.org/officeDocument/2006/relationships/hyperlink" Id="rId93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92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Орлов Илья Сергеевич</dc:creator>
  <dc:language>ru-RU</dc:language>
  <cp:keywords/>
  <dcterms:created xsi:type="dcterms:W3CDTF">2024-12-05T20:12:31Z</dcterms:created>
  <dcterms:modified xsi:type="dcterms:W3CDTF">2024-12-05T20:12:31Z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