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348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2"/>
        <w:gridCol w:w="475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文档编号：</w:t>
            </w:r>
            <w:r>
              <w:rPr>
                <w:rFonts w:hint="eastAsia" w:ascii="微软雅黑" w:hAnsi="微软雅黑"/>
                <w:b/>
                <w:szCs w:val="21"/>
                <w:lang w:val="en-US" w:eastAsia="zh-CN"/>
              </w:rPr>
              <w:t>5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文档版本：1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348" w:type="dxa"/>
            <w:gridSpan w:val="2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文档名称：</w:t>
            </w:r>
            <w:r>
              <w:rPr>
                <w:rFonts w:hint="eastAsia" w:ascii="微软雅黑" w:hAnsi="微软雅黑"/>
                <w:b/>
                <w:szCs w:val="21"/>
                <w:lang w:eastAsia="zh-CN"/>
              </w:rPr>
              <w:t>球杆系统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策划编写人：</w:t>
            </w:r>
            <w:r>
              <w:rPr>
                <w:rFonts w:hint="eastAsia" w:ascii="微软雅黑" w:hAnsi="微软雅黑"/>
                <w:szCs w:val="21"/>
              </w:rPr>
              <w:t xml:space="preserve"> </w:t>
            </w:r>
            <w:r>
              <w:rPr>
                <w:rFonts w:hint="eastAsia" w:ascii="微软雅黑" w:hAnsi="微软雅黑"/>
                <w:szCs w:val="21"/>
                <w:lang w:eastAsia="zh-CN"/>
              </w:rPr>
              <w:t>郭鹏飞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策划负责人：</w:t>
            </w:r>
            <w:r>
              <w:rPr>
                <w:rFonts w:hint="eastAsia" w:ascii="微软雅黑" w:hAnsi="微软雅黑"/>
                <w:szCs w:val="21"/>
                <w:lang w:eastAsia="zh-CN"/>
              </w:rPr>
              <w:t>郭鹏飞</w:t>
            </w:r>
          </w:p>
        </w:tc>
      </w:tr>
    </w:tbl>
    <w:p>
      <w:pPr>
        <w:rPr>
          <w:rFonts w:ascii="微软雅黑" w:hAnsi="微软雅黑"/>
          <w:szCs w:val="21"/>
        </w:rPr>
      </w:pPr>
    </w:p>
    <w:tbl>
      <w:tblPr>
        <w:tblStyle w:val="12"/>
        <w:tblW w:w="10490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818"/>
        <w:gridCol w:w="5247"/>
        <w:gridCol w:w="1843"/>
        <w:gridCol w:w="1701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姓名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hint="eastAsia" w:ascii="微软雅黑" w:hAnsi="微软雅黑"/>
                <w:szCs w:val="21"/>
              </w:rPr>
              <w:t>0.1</w:t>
            </w: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起草</w:t>
            </w: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新增文档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  <w:sz w:val="18"/>
          <w:szCs w:val="18"/>
        </w:rPr>
      </w:pPr>
    </w:p>
    <w:tbl>
      <w:tblPr>
        <w:tblStyle w:val="12"/>
        <w:tblW w:w="10726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10726" w:type="dxa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调整规范：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 “</w:t>
            </w:r>
            <w:r>
              <w:rPr>
                <w:rFonts w:hint="eastAsia" w:ascii="微软雅黑" w:hAnsi="微软雅黑"/>
                <w:dstrike/>
                <w:szCs w:val="21"/>
              </w:rPr>
              <w:t>带删除线的文本</w:t>
            </w:r>
            <w:r>
              <w:rPr>
                <w:rFonts w:hint="eastAsia" w:ascii="微软雅黑" w:hAnsi="微软雅黑"/>
                <w:szCs w:val="21"/>
              </w:rPr>
              <w:t>”表示该部分内容已删除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hint="eastAsia" w:ascii="微软雅黑" w:hAnsi="微软雅黑"/>
                <w:szCs w:val="21"/>
              </w:rPr>
              <w:t>”表示支持点击操作的功能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szCs w:val="21"/>
                <w:highlight w:val="yellow"/>
              </w:rPr>
              <w:t>带黄色背景色的文本</w:t>
            </w:r>
            <w:r>
              <w:rPr>
                <w:rFonts w:hint="eastAsia" w:ascii="微软雅黑" w:hAnsi="微软雅黑"/>
                <w:szCs w:val="21"/>
              </w:rPr>
              <w:t>”表示该部分内容为新修改过的设计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7F7F7F" w:themeColor="background1" w:themeShade="80"/>
                <w:szCs w:val="21"/>
              </w:rPr>
              <w:t>带灰色的文本</w:t>
            </w:r>
            <w:r>
              <w:rPr>
                <w:rFonts w:hint="eastAsia" w:ascii="微软雅黑" w:hAnsi="微软雅黑"/>
                <w:szCs w:val="21"/>
              </w:rPr>
              <w:t>”表示该部分设计内容本次版本不纳入开发进度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FF0000"/>
                <w:szCs w:val="21"/>
              </w:rPr>
              <w:t>红色的文本</w:t>
            </w:r>
            <w:r>
              <w:rPr>
                <w:rFonts w:hint="eastAsia" w:ascii="微软雅黑" w:hAnsi="微软雅黑"/>
                <w:szCs w:val="21"/>
              </w:rPr>
              <w:t>”表示重点内容标识或专属概念解释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本文档内错别字、标点符号等非数字、内容性修改无需特殊标识表示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hAnsi="微软雅黑" w:eastAsia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rFonts w:ascii="微软雅黑" w:hAnsi="微软雅黑" w:eastAsia="微软雅黑" w:cstheme="minorBidi"/>
                <w:b/>
                <w:bCs/>
                <w:color w:val="auto"/>
                <w:kern w:val="2"/>
                <w:sz w:val="21"/>
                <w:szCs w:val="22"/>
                <w:lang w:val="zh-CN"/>
              </w:rPr>
            </w:sdtEndPr>
            <w:sdtContent>
              <w:p>
                <w:pPr>
                  <w:pStyle w:val="23"/>
                  <w:spacing w:before="0" w:line="240" w:lineRule="auto"/>
                  <w:rPr>
                    <w:rFonts w:ascii="微软雅黑" w:hAnsi="微软雅黑" w:eastAsia="微软雅黑"/>
                    <w:lang w:val="zh-CN"/>
                  </w:rPr>
                </w:pPr>
                <w:r>
                  <w:rPr>
                    <w:rFonts w:ascii="微软雅黑" w:hAnsi="微软雅黑" w:eastAsia="微软雅黑"/>
                    <w:lang w:val="zh-CN"/>
                  </w:rPr>
                  <w:t>目录</w:t>
                </w:r>
              </w:p>
              <w:p>
                <w:pPr>
                  <w:rPr>
                    <w:rFonts w:ascii="微软雅黑" w:hAnsi="微软雅黑" w:cs="微软雅黑"/>
                  </w:rPr>
                </w:pP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begin"/>
                </w:r>
                <w:r>
                  <w:rPr>
                    <w:rFonts w:hint="eastAsia" w:ascii="微软雅黑" w:hAnsi="微软雅黑" w:cs="微软雅黑"/>
                  </w:rPr>
                  <w:instrText xml:space="preserve"> TOC \o "1-3" \h \z \u </w:instrText>
                </w:r>
                <w:r>
                  <w:rPr>
                    <w:rFonts w:hint="eastAsia" w:ascii="微软雅黑" w:hAnsi="微软雅黑" w:cs="微软雅黑"/>
                  </w:rPr>
                  <w:fldChar w:fldCharType="separate"/>
                </w:r>
                <w:r>
                  <w:fldChar w:fldCharType="begin"/>
                </w:r>
                <w:r>
                  <w:instrText xml:space="preserve"> HYPERLINK \l "_Toc43727015"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设计目的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_Toc43727015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"_Toc43727016"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功能说明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_Toc43727016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"_Toc43727017"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字段说明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"_Toc43727018"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界面说明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rPr>
                    <w:rFonts w:ascii="微软雅黑" w:hAnsi="微软雅黑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end"/>
                </w: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</w:pPr>
      <w:bookmarkStart w:id="0" w:name="_Toc30336862"/>
      <w:bookmarkStart w:id="1" w:name="_Toc43727015"/>
      <w:r>
        <w:rPr>
          <w:rFonts w:hint="eastAsia" w:ascii="微软雅黑" w:hAnsi="微软雅黑"/>
          <w:szCs w:val="28"/>
        </w:rPr>
        <w:t>设计目的</w:t>
      </w:r>
      <w:bookmarkEnd w:id="0"/>
      <w:bookmarkEnd w:id="1"/>
    </w:p>
    <w:p>
      <w:pPr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  <w:lang w:eastAsia="zh-CN"/>
        </w:rPr>
        <w:t>作为</w:t>
      </w:r>
      <w:r>
        <w:rPr>
          <w:rFonts w:hint="eastAsia" w:ascii="微软雅黑" w:hAnsi="微软雅黑"/>
          <w:sz w:val="18"/>
          <w:szCs w:val="18"/>
        </w:rPr>
        <w:t>游戏商业模式的核心功能</w:t>
      </w:r>
      <w:r>
        <w:rPr>
          <w:rFonts w:hint="eastAsia" w:ascii="微软雅黑" w:hAnsi="微软雅黑"/>
          <w:sz w:val="18"/>
          <w:szCs w:val="18"/>
          <w:lang w:eastAsia="zh-CN"/>
        </w:rPr>
        <w:t>之一，球杆系统会大力促进用户购买欲望，增加用户的付费力度。</w:t>
      </w: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ascii="微软雅黑" w:hAnsi="微软雅黑"/>
          <w:sz w:val="18"/>
          <w:szCs w:val="18"/>
        </w:rPr>
      </w:pPr>
    </w:p>
    <w:p>
      <w:pPr>
        <w:rPr>
          <w:rFonts w:hint="eastAsia" w:ascii="微软雅黑" w:hAnsi="微软雅黑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hint="eastAsia" w:ascii="微软雅黑" w:hAnsi="微软雅黑"/>
          <w:szCs w:val="28"/>
        </w:rPr>
      </w:pPr>
      <w:bookmarkStart w:id="2" w:name="_Toc43727016"/>
      <w:r>
        <w:rPr>
          <w:rFonts w:hint="eastAsia" w:ascii="微软雅黑" w:hAnsi="微软雅黑"/>
          <w:szCs w:val="28"/>
        </w:rPr>
        <w:t>功能说明</w:t>
      </w:r>
      <w:bookmarkEnd w:id="2"/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玩家可以购买球杆、制作球杆（抽奖）、已拥有的球杆需要维护、升级。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在游戏内，点击球杆图标可以随意更换球杆。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增加球杆相关培养的界面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球杆系统存在由玩家点击后进入，其中包括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购买球杆。我的球杆、图鉴四个页签，点击页签切换至相关界面</w:t>
      </w:r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购买球杆：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点击购买球杆进入该界面，从上至下分别排列出不同的球杆。包括已购买的球杆在内，显示所有球杆信息。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每个球杆分别显示以下信息：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球杆品级</w:t>
      </w:r>
      <w:r>
        <w:rPr>
          <w:rFonts w:hint="eastAsia"/>
          <w:color w:val="7030A0"/>
          <w:sz w:val="18"/>
          <w:szCs w:val="18"/>
          <w:lang w:val="en-US" w:eastAsia="zh-CN"/>
        </w:rPr>
        <w:t>（C.B.A.S.SS.SSS六个档次）</w:t>
      </w:r>
    </w:p>
    <w:p>
      <w:p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球杆名字</w:t>
      </w:r>
      <w:r>
        <w:rPr>
          <w:rFonts w:hint="eastAsia"/>
          <w:color w:val="7030A0"/>
          <w:sz w:val="18"/>
          <w:szCs w:val="18"/>
          <w:lang w:val="en-US" w:eastAsia="zh-CN"/>
        </w:rPr>
        <w:t>（策划配置）</w:t>
      </w:r>
    </w:p>
    <w:p>
      <w:p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球杆价格</w:t>
      </w:r>
      <w:r>
        <w:rPr>
          <w:rFonts w:hint="eastAsia"/>
          <w:color w:val="7030A0"/>
          <w:sz w:val="18"/>
          <w:szCs w:val="18"/>
          <w:lang w:val="en-US" w:eastAsia="zh-CN"/>
        </w:rPr>
        <w:t>（金币/钻石 数量策划配置）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球杆寿命/维护 当玩家已购买该球杆后，球杆价格区域显示球杆的寿命以及维护功能，点击‘维护’显示耗费的钻石价格</w:t>
      </w:r>
    </w:p>
    <w:p>
      <w:p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(球杆修复消耗的钻石、金币由策划配置)</w:t>
      </w:r>
    </w:p>
    <w:p>
      <w:p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球杆属性</w:t>
      </w:r>
      <w:r>
        <w:rPr>
          <w:rFonts w:hint="eastAsia"/>
          <w:color w:val="7030A0"/>
          <w:sz w:val="18"/>
          <w:szCs w:val="18"/>
          <w:lang w:val="en-US" w:eastAsia="zh-CN"/>
        </w:rPr>
        <w:t>（力度、加塞、瞄准器 数值策划配置）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玩家点击‘购买按钮’则可购买相关球杆，对于已购买的球杆，购买按钮会变成‘使用’，点击后直接装备该球杆。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已装备的球杆，购买按钮消失，该位置显示文字‘使用中’。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球杆排序为由低到高，从C-B-A-S-SS-SSS的顺序由上至下排列。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我的球杆：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与购买球杆的构成界面相同，但只显示玩家已购买、拥有的球杆（包括带有时限类型的球杆）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7030A0"/>
          <w:sz w:val="18"/>
          <w:szCs w:val="18"/>
          <w:lang w:val="en-US" w:eastAsia="zh-CN"/>
        </w:rPr>
        <w:t>*球杆详情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从购买球杆、我的球杆页签中，点击已拥有的球杆，会弹出球杆详情界面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球杆详情中包含以下属性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满级预览：点开后显示满级球杆的外观+特效，以及球杆等级+名称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出售：拥有不适用、重复的球杆，可以点击出售卖出，售价策划配置。每次出售默认优先出售星级最低的同类型球杆。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维护：点击维护弹出维护窗口，显示3天/7天、30天/一年不同的维护价格，点击维护后，该时间范围内此球杆不会损坏。</w:t>
      </w:r>
    </w:p>
    <w:p>
      <w:pPr>
        <w:rPr>
          <w:rFonts w:hint="eastAsia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7030A0"/>
          <w:sz w:val="18"/>
          <w:szCs w:val="18"/>
          <w:lang w:val="en-US" w:eastAsia="zh-CN"/>
        </w:rPr>
        <w:t>（球杆损坏后仍可使用，但是瞄准器清0，加塞和力量降低至C级球杆的数值参数。）</w:t>
      </w:r>
    </w:p>
    <w:p>
      <w:pPr>
        <w:rPr>
          <w:rFonts w:hint="eastAsia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存在时限的球杆，在时限内损坏可以修复，但修复时间＞持有时间后，持有期到达，该球杆将收回并无法使用，但是修复时间持续计算，直至到期结束。修复时间内玩家再次获取该球杆，该球杆依旧保留修复效果，不消耗耐久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使用：点击使用后装备该球杆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球杆类型 配置表</w:t>
      </w:r>
    </w:p>
    <w:tbl>
      <w:tblPr>
        <w:tblStyle w:val="11"/>
        <w:tblW w:w="75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934"/>
        <w:gridCol w:w="564"/>
        <w:gridCol w:w="564"/>
        <w:gridCol w:w="1118"/>
        <w:gridCol w:w="680"/>
        <w:gridCol w:w="680"/>
        <w:gridCol w:w="794"/>
        <w:gridCol w:w="803"/>
        <w:gridCol w:w="8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名称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品级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等级</w:t>
            </w:r>
          </w:p>
        </w:tc>
        <w:tc>
          <w:tcPr>
            <w:tcW w:w="1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购买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类型，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维护</w:t>
            </w:r>
          </w:p>
          <w:p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30次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维护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3天</w:t>
            </w:r>
          </w:p>
        </w:tc>
        <w:tc>
          <w:tcPr>
            <w:tcW w:w="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维护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7天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维护</w:t>
            </w:r>
          </w:p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30天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维护</w:t>
            </w:r>
          </w:p>
          <w:p>
            <w:pPr>
              <w:widowControl/>
              <w:jc w:val="center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365天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1,30000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1,200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1,500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1,1000</w:t>
            </w: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1.2000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水晶球杆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1,100000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1,200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1,500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1,1000</w:t>
            </w: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1.2000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黄金球杆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2,300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2,10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2,20</w:t>
            </w: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2,30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钻石球杆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SS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2,1000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2,10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2,20</w:t>
            </w: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2,30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星耀球杆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SSS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2,2000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2,10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2,20</w:t>
            </w: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2,30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2,100</w:t>
            </w:r>
          </w:p>
        </w:tc>
      </w:tr>
    </w:tbl>
    <w:p>
      <w:p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 xml:space="preserve"> 球杆可以出售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售价为货币类型</w:t>
      </w:r>
      <w:r>
        <w:rPr>
          <w:rFonts w:hint="eastAsia"/>
          <w:color w:val="7030A0"/>
          <w:sz w:val="18"/>
          <w:szCs w:val="18"/>
          <w:lang w:val="en-US" w:eastAsia="zh-CN"/>
        </w:rPr>
        <w:t>（举例 1代表金币，2代表钻石），</w:t>
      </w:r>
      <w:r>
        <w:rPr>
          <w:rFonts w:hint="eastAsia"/>
          <w:sz w:val="18"/>
          <w:szCs w:val="18"/>
          <w:lang w:val="en-US" w:eastAsia="zh-CN"/>
        </w:rPr>
        <w:t>货币数量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维护格式为货币类型</w:t>
      </w:r>
      <w:r>
        <w:rPr>
          <w:rFonts w:hint="eastAsia"/>
          <w:color w:val="7030A0"/>
          <w:sz w:val="18"/>
          <w:szCs w:val="18"/>
          <w:lang w:val="en-US" w:eastAsia="zh-CN"/>
        </w:rPr>
        <w:t>（举例 1代表金币，2代表钻石），</w:t>
      </w:r>
      <w:r>
        <w:rPr>
          <w:rFonts w:hint="eastAsia"/>
          <w:sz w:val="18"/>
          <w:szCs w:val="18"/>
          <w:lang w:val="en-US" w:eastAsia="zh-CN"/>
        </w:rPr>
        <w:t>货币数量，方便后期活动打折，金币钻石维护转换。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数值为0的则不显示该套餐，为0则不触发，此球杆不可使用此类型维护。同时此类型不显示在选项中。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维护次数为最低档次维修功能，每次出杆则扣除1次耐久，满额为30点耐久。球杆属性请看球杆升级配置表，玩家购买只能购买1级球杆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玩家购买该球杆后，新球杆会自带30次的免维护，30次之后，需要玩家选择维修套餐并使用。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制作球杆/保底权重计算：A出现权重÷所有权重总和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升级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：每个球杆存在1-10星级，需要耗费强化卡升级该球杆，每级消耗的强化卡数量不同。</w:t>
      </w: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（策划配置 见字段）</w:t>
      </w:r>
    </w:p>
    <w:p>
      <w:pPr>
        <w:jc w:val="left"/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必须是永久拥有的球杆才可升级，存在时限的球杆不可升级。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每次升级球杆，都可以小幅度提升力度/加塞/瞄准器/战力的数值</w:t>
      </w:r>
    </w:p>
    <w:p>
      <w:p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球杆升级 配置表</w:t>
      </w:r>
    </w:p>
    <w:tbl>
      <w:tblPr>
        <w:tblStyle w:val="11"/>
        <w:tblW w:w="64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950"/>
        <w:gridCol w:w="574"/>
        <w:gridCol w:w="573"/>
        <w:gridCol w:w="692"/>
        <w:gridCol w:w="691"/>
        <w:gridCol w:w="808"/>
        <w:gridCol w:w="816"/>
        <w:gridCol w:w="8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名称</w:t>
            </w:r>
          </w:p>
        </w:tc>
        <w:tc>
          <w:tcPr>
            <w:tcW w:w="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品级</w:t>
            </w:r>
          </w:p>
        </w:tc>
        <w:tc>
          <w:tcPr>
            <w:tcW w:w="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星级</w:t>
            </w:r>
          </w:p>
        </w:tc>
        <w:tc>
          <w:tcPr>
            <w:tcW w:w="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力度</w:t>
            </w:r>
          </w:p>
        </w:tc>
        <w:tc>
          <w:tcPr>
            <w:tcW w:w="6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加塞</w:t>
            </w:r>
          </w:p>
        </w:tc>
        <w:tc>
          <w:tcPr>
            <w:tcW w:w="8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瞄准器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战力</w:t>
            </w:r>
          </w:p>
        </w:tc>
        <w:tc>
          <w:tcPr>
            <w:tcW w:w="8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eastAsia="zh-CN"/>
              </w:rPr>
              <w:t>升级消耗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78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78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102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80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80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90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103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82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95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104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84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105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86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105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06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88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88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110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107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90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90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120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1.220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108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93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93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130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1.240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109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96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96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140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1.280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110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1.320</w:t>
            </w:r>
          </w:p>
        </w:tc>
      </w:tr>
    </w:tbl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升级消耗格式（道具ID，道具数量）</w:t>
      </w:r>
    </w:p>
    <w:p>
      <w:p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图鉴：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显示所有球杆的图标，点击后弹出球杆的相关信息，以及产出渠道的文字描述。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  <w:lang w:val="en-US" w:eastAsia="zh-CN"/>
        </w:rPr>
        <w:t>2 球杆属性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力量</w:t>
      </w:r>
      <w:r>
        <w:rPr>
          <w:rFonts w:hint="eastAsia"/>
          <w:sz w:val="18"/>
          <w:szCs w:val="18"/>
          <w:lang w:val="en-US" w:eastAsia="zh-CN"/>
        </w:rPr>
        <w:t>：影响开球、击球力度，力量越高，游戏内可选择的力度值上限越高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加塞</w:t>
      </w:r>
      <w:r>
        <w:rPr>
          <w:rFonts w:hint="eastAsia"/>
          <w:sz w:val="18"/>
          <w:szCs w:val="18"/>
          <w:lang w:val="en-US" w:eastAsia="zh-CN"/>
        </w:rPr>
        <w:t>：请见下图所示，加塞数值越高，白球球体的选择区间越大，不同位置的加塞，影响白球的运动轨迹、以及在击中黄球之后的弹射轨迹。加塞数值越大，对白球的影响效果越大。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833880" cy="177863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750" cy="18535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瞄准器</w:t>
      </w:r>
      <w:r>
        <w:rPr>
          <w:rFonts w:hint="eastAsia"/>
          <w:sz w:val="18"/>
          <w:szCs w:val="18"/>
          <w:lang w:val="en-US" w:eastAsia="zh-CN"/>
        </w:rPr>
        <w:t>：如图下所示，瞄准器就是击球轨迹的延长线，瞄准器数值加大，线的长度增加。顶级球杆瞄准器的白线很长，对击球方向判断起到很大助力。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3716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8085" cy="580390"/>
            <wp:effectExtent l="0" t="0" r="184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5808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战力</w:t>
      </w:r>
      <w:r>
        <w:rPr>
          <w:rFonts w:hint="eastAsia"/>
          <w:sz w:val="18"/>
          <w:szCs w:val="18"/>
          <w:lang w:val="en-US" w:eastAsia="zh-CN"/>
        </w:rPr>
        <w:t>：球杆等级、品级越高，增加的战力越大，战力可用于战力排行等其他方面。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hint="eastAsia" w:ascii="微软雅黑" w:hAnsi="微软雅黑"/>
          <w:szCs w:val="28"/>
        </w:rPr>
        <w:t>字段说明</w:t>
      </w:r>
      <w:bookmarkEnd w:id="3"/>
    </w:p>
    <w:p>
      <w:pPr>
        <w:rPr>
          <w:rFonts w:hint="eastAsia"/>
        </w:rPr>
      </w:pPr>
      <w:r>
        <w:rPr>
          <w:rFonts w:hint="eastAsia"/>
        </w:rPr>
        <w:t>游戏相关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当</w:t>
      </w:r>
      <w:r>
        <w:rPr>
          <w:rFonts w:hint="eastAsia" w:ascii="微软雅黑" w:hAnsi="微软雅黑"/>
          <w:szCs w:val="28"/>
          <w:lang w:eastAsia="zh-CN"/>
        </w:rPr>
        <w:t>用户购买了</w:t>
      </w:r>
      <w:r>
        <w:rPr>
          <w:rFonts w:hint="eastAsia" w:ascii="微软雅黑" w:hAnsi="微软雅黑"/>
          <w:szCs w:val="28"/>
          <w:lang w:val="en-US" w:eastAsia="zh-CN"/>
        </w:rPr>
        <w:t>S级以上的球杆时，公告信息会有提示‘’XXX玩家购了XXX球杆，快来膜拜。‘’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当</w:t>
      </w:r>
      <w:r>
        <w:rPr>
          <w:rFonts w:hint="eastAsia" w:ascii="微软雅黑" w:hAnsi="微软雅黑"/>
          <w:szCs w:val="28"/>
          <w:lang w:eastAsia="zh-CN"/>
        </w:rPr>
        <w:t>用户的球杆升级到</w:t>
      </w:r>
      <w:r>
        <w:rPr>
          <w:rFonts w:hint="eastAsia" w:ascii="微软雅黑" w:hAnsi="微软雅黑"/>
          <w:szCs w:val="28"/>
          <w:lang w:val="en-US" w:eastAsia="zh-CN"/>
        </w:rPr>
        <w:t>6星以上后，公告信息会有提示‘’XXX玩家成功将XXXX球杆升级到X星，实力大增。‘’</w:t>
      </w:r>
      <w:bookmarkStart w:id="5" w:name="_GoBack"/>
      <w:bookmarkEnd w:id="5"/>
    </w:p>
    <w:p>
      <w:pPr>
        <w:pStyle w:val="22"/>
        <w:numPr>
          <w:ilvl w:val="0"/>
          <w:numId w:val="0"/>
        </w:numPr>
        <w:ind w:left="426" w:leftChars="0"/>
        <w:rPr>
          <w:rFonts w:ascii="微软雅黑" w:hAnsi="微软雅黑"/>
          <w:szCs w:val="28"/>
        </w:rPr>
      </w:pPr>
    </w:p>
    <w:p>
      <w:pPr>
        <w:rPr>
          <w:rFonts w:hint="eastAsia" w:ascii="微软雅黑" w:hAnsi="微软雅黑"/>
          <w:szCs w:val="28"/>
          <w:lang w:eastAsia="zh-CN"/>
        </w:rPr>
      </w:pPr>
      <w:r>
        <w:rPr>
          <w:rFonts w:hint="eastAsia" w:ascii="微软雅黑" w:hAnsi="微软雅黑"/>
          <w:szCs w:val="28"/>
          <w:lang w:eastAsia="zh-CN"/>
        </w:rPr>
        <w:t>球杆商城和球杆升级为两个表，数值相关的配置在升级表内。</w:t>
      </w:r>
    </w:p>
    <w:p>
      <w:pPr>
        <w:rPr>
          <w:rFonts w:hint="eastAsia" w:ascii="微软雅黑" w:hAnsi="微软雅黑" w:eastAsia="微软雅黑"/>
          <w:szCs w:val="28"/>
          <w:lang w:val="en-US" w:eastAsia="zh-CN"/>
        </w:rPr>
      </w:pPr>
      <w:r>
        <w:rPr>
          <w:rFonts w:hint="eastAsia" w:ascii="微软雅黑" w:hAnsi="微软雅黑"/>
          <w:szCs w:val="28"/>
          <w:lang w:val="en-US" w:eastAsia="zh-CN"/>
        </w:rPr>
        <w:t>同类型球杆售价相同，不区分星级差距。</w:t>
      </w: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hint="eastAsia" w:ascii="微软雅黑" w:hAnsi="微软雅黑"/>
          <w:szCs w:val="28"/>
        </w:rPr>
        <w:t>界面说明</w:t>
      </w:r>
      <w:bookmarkEnd w:id="4"/>
    </w:p>
    <w:p>
      <w:pPr>
        <w:rPr>
          <w:rFonts w:ascii="微软雅黑" w:hAnsi="微软雅黑"/>
          <w:color w:val="7F7F7F" w:themeColor="background1" w:themeShade="80"/>
          <w:szCs w:val="28"/>
        </w:rPr>
      </w:pPr>
      <w:r>
        <w:rPr>
          <w:rFonts w:hint="eastAsia" w:ascii="微软雅黑" w:hAnsi="微软雅黑"/>
          <w:color w:val="7F7F7F" w:themeColor="background1" w:themeShade="80"/>
          <w:szCs w:val="28"/>
        </w:rPr>
        <w:t>待补充</w:t>
      </w: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hint="eastAsia" w:ascii="微软雅黑" w:hAnsi="微软雅黑"/>
          <w:color w:val="7F7F7F" w:themeColor="background1" w:themeShade="80"/>
          <w:szCs w:val="28"/>
        </w:rPr>
      </w:pPr>
    </w:p>
    <w:p>
      <w:pPr>
        <w:rPr>
          <w:rFonts w:hint="eastAsia"/>
          <w:sz w:val="18"/>
          <w:szCs w:val="18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75621"/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7"/>
      <w:ind w:firstLine="4320" w:firstLineChars="240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675C"/>
    <w:multiLevelType w:val="multilevel"/>
    <w:tmpl w:val="4A08675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3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480243F"/>
    <w:rsid w:val="061E0087"/>
    <w:rsid w:val="08B93B72"/>
    <w:rsid w:val="0A3C02F7"/>
    <w:rsid w:val="0BB77E58"/>
    <w:rsid w:val="0BEF1541"/>
    <w:rsid w:val="0C2A7AC6"/>
    <w:rsid w:val="0DCA4EC3"/>
    <w:rsid w:val="159C0847"/>
    <w:rsid w:val="16492A76"/>
    <w:rsid w:val="16B266AD"/>
    <w:rsid w:val="188359D4"/>
    <w:rsid w:val="1B43221D"/>
    <w:rsid w:val="1FC0465C"/>
    <w:rsid w:val="20100D6D"/>
    <w:rsid w:val="240C7870"/>
    <w:rsid w:val="24CD1675"/>
    <w:rsid w:val="29244574"/>
    <w:rsid w:val="297670D2"/>
    <w:rsid w:val="2AC15EA0"/>
    <w:rsid w:val="2BCE13D7"/>
    <w:rsid w:val="2C8A612E"/>
    <w:rsid w:val="2EB17AF3"/>
    <w:rsid w:val="2FBA7C3E"/>
    <w:rsid w:val="3123097F"/>
    <w:rsid w:val="313119D4"/>
    <w:rsid w:val="35643EA9"/>
    <w:rsid w:val="357C74B1"/>
    <w:rsid w:val="38D812C6"/>
    <w:rsid w:val="39DD0258"/>
    <w:rsid w:val="3C0822E3"/>
    <w:rsid w:val="3C41761E"/>
    <w:rsid w:val="40F1023F"/>
    <w:rsid w:val="41492094"/>
    <w:rsid w:val="44932B2C"/>
    <w:rsid w:val="463B5A9C"/>
    <w:rsid w:val="481373AB"/>
    <w:rsid w:val="482E2268"/>
    <w:rsid w:val="495E2237"/>
    <w:rsid w:val="4E306543"/>
    <w:rsid w:val="4EAD0BEE"/>
    <w:rsid w:val="54F8057A"/>
    <w:rsid w:val="55FD5E5A"/>
    <w:rsid w:val="56274468"/>
    <w:rsid w:val="5719631A"/>
    <w:rsid w:val="57DC37D7"/>
    <w:rsid w:val="59EB6981"/>
    <w:rsid w:val="5AA67348"/>
    <w:rsid w:val="60C245CF"/>
    <w:rsid w:val="610371BD"/>
    <w:rsid w:val="62622E01"/>
    <w:rsid w:val="650E086E"/>
    <w:rsid w:val="696F299A"/>
    <w:rsid w:val="6EB66EB8"/>
    <w:rsid w:val="70C251ED"/>
    <w:rsid w:val="72B84D14"/>
    <w:rsid w:val="72CC1C32"/>
    <w:rsid w:val="760E65D5"/>
    <w:rsid w:val="76CA5E82"/>
    <w:rsid w:val="782613D4"/>
    <w:rsid w:val="787C060A"/>
    <w:rsid w:val="794D5BA3"/>
    <w:rsid w:val="7AF743DE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9"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6"/>
    <w:unhideWhenUsed/>
    <w:qFormat/>
    <w:uiPriority w:val="99"/>
    <w:pPr>
      <w:jc w:val="left"/>
    </w:pPr>
  </w:style>
  <w:style w:type="paragraph" w:styleId="5">
    <w:name w:val="endnote text"/>
    <w:basedOn w:val="1"/>
    <w:link w:val="25"/>
    <w:semiHidden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annotation subject"/>
    <w:basedOn w:val="4"/>
    <w:next w:val="4"/>
    <w:link w:val="27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endnote reference"/>
    <w:basedOn w:val="13"/>
    <w:semiHidden/>
    <w:unhideWhenUsed/>
    <w:qFormat/>
    <w:uiPriority w:val="99"/>
    <w:rPr>
      <w:vertAlign w:val="superscript"/>
    </w:rPr>
  </w:style>
  <w:style w:type="character" w:styleId="15">
    <w:name w:val="FollowedHyperlink"/>
    <w:basedOn w:val="1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标题 1 字符"/>
    <w:basedOn w:val="13"/>
    <w:link w:val="2"/>
    <w:qFormat/>
    <w:uiPriority w:val="9"/>
    <w:rPr>
      <w:rFonts w:eastAsia="微软雅黑" w:asciiTheme="majorHAnsi" w:hAnsiTheme="majorHAnsi" w:cstheme="majorBidi"/>
      <w:b/>
      <w:kern w:val="44"/>
      <w:sz w:val="28"/>
      <w:szCs w:val="44"/>
    </w:rPr>
  </w:style>
  <w:style w:type="character" w:customStyle="1" w:styleId="19">
    <w:name w:val="标题 2 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3"/>
    <w:link w:val="7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eastAsiaTheme="majorEastAsia"/>
      <w:b w:val="0"/>
      <w:color w:val="376092" w:themeColor="accent1" w:themeShade="BF"/>
      <w:kern w:val="0"/>
      <w:sz w:val="32"/>
      <w:szCs w:val="32"/>
    </w:rPr>
  </w:style>
  <w:style w:type="character" w:customStyle="1" w:styleId="24">
    <w:name w:val="批注框文本 字符"/>
    <w:basedOn w:val="13"/>
    <w:link w:val="6"/>
    <w:semiHidden/>
    <w:qFormat/>
    <w:uiPriority w:val="99"/>
    <w:rPr>
      <w:sz w:val="18"/>
      <w:szCs w:val="18"/>
    </w:rPr>
  </w:style>
  <w:style w:type="character" w:customStyle="1" w:styleId="25">
    <w:name w:val="尾注文本 字符"/>
    <w:basedOn w:val="13"/>
    <w:link w:val="5"/>
    <w:semiHidden/>
    <w:qFormat/>
    <w:uiPriority w:val="99"/>
  </w:style>
  <w:style w:type="character" w:customStyle="1" w:styleId="26">
    <w:name w:val="批注文字 字符"/>
    <w:basedOn w:val="13"/>
    <w:link w:val="4"/>
    <w:qFormat/>
    <w:uiPriority w:val="99"/>
  </w:style>
  <w:style w:type="character" w:customStyle="1" w:styleId="27">
    <w:name w:val="批注主题 字符"/>
    <w:basedOn w:val="26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CG</Company>
  <Pages>5</Pages>
  <Words>338</Words>
  <Characters>1930</Characters>
  <Lines>16</Lines>
  <Paragraphs>4</Paragraphs>
  <TotalTime>5</TotalTime>
  <ScaleCrop>false</ScaleCrop>
  <LinksUpToDate>false</LinksUpToDate>
  <CharactersWithSpaces>2264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2020-02-12T04:13:00Z</dcterms:created>
  <dc:creator>werlns</dc:creator>
  <cp:lastModifiedBy>kane</cp:lastModifiedBy>
  <dcterms:modified xsi:type="dcterms:W3CDTF">2020-06-23T09:00:30Z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