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left"/>
      </w:pPr>
      <w:r>
        <w:t>北大问教四种问答模式设计说明</w:t>
      </w:r>
    </w:p>
    <w:p>
      <w:pPr>
        <w:spacing w:before="0" w:after="280" w:line="288" w:lineRule="auto"/>
      </w:pPr>
      <w:r>
        <w:rPr>
          <w:rFonts w:ascii="Aptos" w:hAnsi="Aptos" w:eastAsia="PingFang SC"/>
          <w:color w:val="606266"/>
          <w:sz w:val="22"/>
        </w:rPr>
        <w:t>面向对象 工作流 知识库 返回内容与格式</w:t>
      </w:r>
    </w:p>
    <w:p>
      <w:pPr>
        <w:spacing w:before="0" w:after="240" w:line="312" w:lineRule="auto"/>
      </w:pPr>
      <w:r>
        <w:t>本文档说明北大问教中四种问答模式的用户定位和处理边界。四种模式共用同一个问答入口，但分别使用不同的检索策略、默认知识库和回答结构。通用问答处理开放式咨询；大纲设计和教学设计使用课程或案例匹配；学情诊断以教师提供的数据和评估报告为优先证据。</w:t>
      </w:r>
    </w:p>
    <w:p>
      <w:pPr>
        <w:pStyle w:val="Heading1"/>
      </w:pPr>
      <w:r>
        <w:t>模式总览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515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48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面向对象</w:t>
            </w:r>
          </w:p>
        </w:tc>
        <w:tc>
          <w:tcPr>
            <w:tcW w:type="dxa" w:w="324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核心工作流</w:t>
            </w:r>
          </w:p>
        </w:tc>
      </w:tr>
      <w:tr>
        <w:trPr>
          <w:cantSplit/>
        </w:trPr>
        <w:tc>
          <w:tcPr>
            <w:tcW w:type="dxa" w:w="10515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通用问答</w:t>
            </w:r>
          </w:p>
        </w:tc>
        <w:tc>
          <w:tcPr>
            <w:tcW w:type="dxa" w:w="2148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有一般教学咨询需求的高校教师</w:t>
            </w:r>
          </w:p>
        </w:tc>
        <w:tc>
          <w:tcPr>
            <w:tcW w:type="dxa" w:w="324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生成检索语句 → 分块 RAG → 带引用的可执行建议</w:t>
            </w:r>
          </w:p>
        </w:tc>
      </w:tr>
      <w:tr>
        <w:trPr>
          <w:cantSplit/>
        </w:trPr>
        <w:tc>
          <w:tcPr>
            <w:tcW w:type="dxa" w:w="10515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大纲设计</w:t>
            </w:r>
          </w:p>
        </w:tc>
        <w:tc>
          <w:tcPr>
            <w:tcW w:type="dxa" w:w="2148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新开课、修订大纲的教师和课程团队</w:t>
            </w:r>
          </w:p>
        </w:tc>
        <w:tc>
          <w:tcPr>
            <w:tcW w:type="dxa" w:w="324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匹配相似课程 → 读取完整课程文档 → 设计大纲</w:t>
            </w:r>
          </w:p>
        </w:tc>
      </w:tr>
      <w:tr>
        <w:trPr>
          <w:cantSplit/>
        </w:trPr>
        <w:tc>
          <w:tcPr>
            <w:tcW w:type="dxa" w:w="10515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教学设计</w:t>
            </w:r>
          </w:p>
        </w:tc>
        <w:tc>
          <w:tcPr>
            <w:tcW w:type="dxa" w:w="2148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设计单课时、教学单元或活动的教师</w:t>
            </w:r>
          </w:p>
        </w:tc>
        <w:tc>
          <w:tcPr>
            <w:tcW w:type="dxa" w:w="324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匹配教学案例 → 读取完整材料 → 生成课时流程</w:t>
            </w:r>
          </w:p>
        </w:tc>
      </w:tr>
      <w:tr>
        <w:trPr>
          <w:cantSplit/>
        </w:trPr>
        <w:tc>
          <w:tcPr>
            <w:tcW w:type="dxa" w:w="105156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学情诊断</w:t>
            </w:r>
          </w:p>
        </w:tc>
        <w:tc>
          <w:tcPr>
            <w:tcW w:type="dxa" w:w="2148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持有作业、测验、课堂表现或评估报告的教师</w:t>
            </w:r>
          </w:p>
        </w:tc>
        <w:tc>
          <w:tcPr>
            <w:tcW w:type="dxa" w:w="324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证据优先 → 现象与推断分离 → 分层干预和验证</w:t>
            </w:r>
          </w:p>
        </w:tc>
      </w:tr>
    </w:tbl>
    <w:p/>
    <w:p>
      <w:pPr>
        <w:pStyle w:val="Heading1"/>
        <w:pageBreakBefore/>
      </w:pPr>
      <w:r>
        <w:t>通用问答</w:t>
      </w:r>
    </w:p>
    <w:p>
      <w:pPr>
        <w:keepNext/>
        <w:spacing w:before="0" w:after="160" w:line="276" w:lineRule="auto"/>
      </w:pPr>
      <w:r>
        <w:rPr>
          <w:rFonts w:ascii="Aptos" w:hAnsi="Aptos" w:eastAsia="PingFang SC"/>
          <w:color w:val="606266"/>
          <w:sz w:val="21"/>
        </w:rPr>
        <w:t>ask  解释教学问题，并给出有依据的可执行建议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设计项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面向对象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面向有一般教学咨询需求的高校教师。适合解释教学概念、查找教学策略和回答局部问题，例如“大班课如何提高参与度”和“教学目标怎样写得可测量”。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典型任务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教学概念解释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通用教学策略建议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教学难题咨询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理论与实践案例查询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工作流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根据最近的对话补全当前问题中的指代。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生成 2–4 条语义检索语句，覆盖核心教学概念、适用情境和实践策略。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在默认知识库中执行分块向量检索。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按相似度过滤、合并和去重检索文本块。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由大模型结合检索证据回答，并给出可执行建议。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默认知识库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教育学基础理论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北大教学沙龙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课程大纲参考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学科教学知识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国内外高校教学案例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Stanford AIMES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返回内容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直接结论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理论或案例依据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可执行建议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适用条件或实施风险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返回格式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Markdown 自然结构，不强制固定模板。引用资料时使用 [1]、[2] 等编号；页面下方展示来源、相似度和原文网址。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当前边界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当前使用常规分块 RAG。</w:t>
            </w:r>
          </w:p>
        </w:tc>
      </w:tr>
    </w:tbl>
    <w:p>
      <w:pPr>
        <w:pStyle w:val="Heading1"/>
        <w:pageBreakBefore/>
      </w:pPr>
      <w:r>
        <w:t>大纲设计</w:t>
      </w:r>
    </w:p>
    <w:p>
      <w:pPr>
        <w:keepNext/>
        <w:spacing w:before="0" w:after="160" w:line="276" w:lineRule="auto"/>
      </w:pPr>
      <w:r>
        <w:rPr>
          <w:rFonts w:ascii="Aptos" w:hAnsi="Aptos" w:eastAsia="PingFang SC"/>
          <w:color w:val="606266"/>
          <w:sz w:val="21"/>
        </w:rPr>
        <w:t>syllabus_design  匹配内容相近课程，设计目标、内容、进度与评价体系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设计项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面向对象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面向准备新开课、修订课程大纲或重新设计课程体系的教师、院系负责人和课程团队。适合匹配内容相近课程，并设计课程目标、周计划、教学形式及考核结构。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典型任务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新课程大纲设计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现有大纲修订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相似国外课程匹配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目标、内容、活动和评价一致性设计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工作流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提取课程主题、核心概念、学生层次、先修知识和课程类型。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生成中英文课程匹配查询，补充学习目标、课程组织和考核方式等维度。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优先检索中文课程检索画像和课程资料，确定最多 3 门相似 MIT 课程。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按课程目录读取完整相关文档，不仅使用命中的短文本块。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补充检索课程设计理论和学科教学知识。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6. 综合形成大纲方案，并区分“来源事实”和“本次设计建议”。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默认知识库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国内外高校教学案例，主要用于匹配 MIT OCW 课程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课程大纲参考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学科教学知识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教育学基础理论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返回内容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需求理解与必要假设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相似课程及匹配理由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可迁移的设计要素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课程定位与学生对象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可测量的课程目标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6. 核心内容与周次安排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7. 教学组织形式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8. 作业与考核结构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9. 目标、活动和评价一致性表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10. 原始课程网址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返回格式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Markdown 结构化输出。界面单独展示匹配课程、原文网址、匹配度和实际读取的课程文档。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当前边界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当前对 MIT OCW 实施两阶段检索：先匹配课程，再加载完整相关文档。每门课程按文档边界读取，不在文档中间截断。</w:t>
            </w:r>
          </w:p>
        </w:tc>
      </w:tr>
    </w:tbl>
    <w:p>
      <w:pPr>
        <w:pStyle w:val="Heading1"/>
        <w:pageBreakBefore/>
      </w:pPr>
      <w:r>
        <w:t>教学设计</w:t>
      </w:r>
    </w:p>
    <w:p>
      <w:pPr>
        <w:keepNext/>
        <w:spacing w:before="0" w:after="160" w:line="276" w:lineRule="auto"/>
      </w:pPr>
      <w:r>
        <w:rPr>
          <w:rFonts w:ascii="Aptos" w:hAnsi="Aptos" w:eastAsia="PingFang SC"/>
          <w:color w:val="606266"/>
          <w:sz w:val="21"/>
        </w:rPr>
        <w:t>teaching_design  面向一节课或一个单元设计活动、互动与形成性评价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设计项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面向对象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面向需要设计一节课、一个知识单元或一项教学活动的教师。适合 90 分钟课堂设计、难点讲解、课堂互动、形成性评价和 AI 作业设计。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典型任务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单课时或教学单元设计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抽象概念和典型难点讲解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课堂互动与学生活动设计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形成性评价设计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生成式 AI 教学和作业设计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工作流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识别教学主题、学生情况、课时长度和教学难点。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生成覆盖知识内容、学习难点、教学活动和评价方法的检索语句。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匹配知识主题或教学方法相近的课程案例。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对命中的 MIT 课程加载完整相关材料。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补充检索北大教学案例、教学沙龙、学科教学方法和教育理论。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6. 如问题涉及生成式 AI，补充检索 AIMES 的 AI 教学策略和课程政策。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7. 将案例经验转换为适合当前课堂的教学流程。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默认知识库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国内外高校教学案例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北大教学沙龙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学科教学知识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教育学基础理论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Stanford AIMES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返回内容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学习目标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学情假设与主要难点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教学设计原则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分阶段教学流程表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每阶段的时间、教师行为、学生活动和预期产出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6. 课堂提问与互动设计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7. 形成性评价方法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8. 课后任务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9. 实施风险与备选方案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10. 参考案例及原始网址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返回格式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Markdown 结构化输出。课时信息充分时，优先使用时间轴或教学流程表；引用案例时附来源编号和原文网址。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当前边界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当前对 MIT OCW 课程执行案例匹配和完整文档加载；其他教学案例仍使用分块 RAG。</w:t>
            </w:r>
          </w:p>
        </w:tc>
      </w:tr>
    </w:tbl>
    <w:p>
      <w:pPr>
        <w:pStyle w:val="Heading1"/>
        <w:pageBreakBefore/>
      </w:pPr>
      <w:r>
        <w:t>学情诊断</w:t>
      </w:r>
    </w:p>
    <w:p>
      <w:pPr>
        <w:keepNext/>
        <w:spacing w:before="0" w:after="160" w:line="276" w:lineRule="auto"/>
      </w:pPr>
      <w:r>
        <w:rPr>
          <w:rFonts w:ascii="Aptos" w:hAnsi="Aptos" w:eastAsia="PingFang SC"/>
          <w:color w:val="606266"/>
          <w:sz w:val="21"/>
        </w:rPr>
        <w:t>learning_diagnosis  根据作业、课堂表现或评估报告识别问题并提出干预方案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设计项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面向对象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面向已经掌握学生作业、测验、课堂表现或课堂评估报告，希望发现问题并制定干预方案的教师。适合错误分析、学生分层、薄弱知识点定位、课堂问题诊断和改进计划。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典型任务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作业或测验错误分析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薄弱知识点与学习困难定位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学生分层与针对性干预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历史课堂评估报告解读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教学改进计划设计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工作流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优先读取教师提供的学生表现数据或指定的历史课堂评估报告。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界定数据范围、样本限制以及根据当前证据不能得出的结论。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提取可直接观察的现象，如错误类型、得分分布、完成情况和课堂表现。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将事实证据和原因推断分开，并标明诊断置信程度。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检索学习科学、错误诊断和学科教学知识。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6. 形成问题分类、原因假设和学生分组。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7. 给出分层干预方案及下一轮验证方法。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默认知识库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• 教师指定的历史评估报告，作为首要证据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教育学基础理论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学科教学知识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• 北大教学沙龙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返回内容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50" w:line="269" w:lineRule="auto"/>
              <w:ind w:left="43" w:hanging="14"/>
            </w:pPr>
            <w:r/>
            <w:r>
              <w:rPr>
                <w:rFonts w:ascii="Aptos" w:hAnsi="Aptos" w:eastAsia="PingFang SC"/>
                <w:color w:val="000000"/>
                <w:sz w:val="20"/>
              </w:rPr>
              <w:t>1. 数据范围与诊断限制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2. 关键证据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3. 主要问题及严重程度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4. 可观察现象与原因假设对照表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5. 诊断置信程度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6. 学生分组或问题分类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7. 针对性教学干预</w:t>
            </w:r>
          </w:p>
          <w:p>
            <w:pPr>
              <w:spacing w:before="0" w:after="50" w:line="269" w:lineRule="auto"/>
              <w:ind w:left="43" w:hanging="14"/>
            </w:pPr>
            <w:r>
              <w:rPr>
                <w:rFonts w:ascii="Aptos" w:hAnsi="Aptos" w:eastAsia="PingFang SC"/>
                <w:color w:val="000000"/>
                <w:sz w:val="20"/>
              </w:rPr>
              <w:t>8. 下一轮测评或验证方案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返回格式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Markdown 结构化诊断报告。没有学生数据时，不直接下诊断结论，只返回诊断框架和所需材料清单。</w:t>
            </w:r>
          </w:p>
        </w:tc>
      </w:tr>
      <w:tr>
        <w:trPr>
          <w:cantSplit/>
        </w:trPr>
        <w:tc>
          <w:tcPr>
            <w:tcW w:type="dxa" w:w="114300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5F6F7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当前边界</w:t>
            </w:r>
          </w:p>
        </w:tc>
        <w:tc>
          <w:tcPr>
            <w:tcW w:type="dxa" w:w="5303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当前支持粘贴或概述学生表现，以及选择历史课堂评估报告。作业文件批量上传、表格统计和学生匿名化处理尚未接入。</w:t>
            </w:r>
          </w:p>
        </w:tc>
      </w:tr>
    </w:tbl>
    <w:p>
      <w:pPr>
        <w:sectPr>
          <w:footerReference w:type="default" r:id="rId9"/>
          <w:pgSz w:w="12240" w:h="15840"/>
          <w:pgMar w:top="936" w:right="1008" w:bottom="936" w:left="1008" w:header="432" w:footer="432" w:gutter="0"/>
          <w:cols w:space="720"/>
          <w:docGrid w:linePitch="360"/>
        </w:sectPr>
      </w:pPr>
    </w:p>
    <w:p>
      <w:pPr>
        <w:pStyle w:val="Heading1"/>
      </w:pPr>
      <w:r>
        <w:t>完整课程材料装载</w:t>
      </w:r>
    </w:p>
    <w:p>
      <w:pPr>
        <w:spacing w:before="0" w:after="160" w:line="300" w:lineRule="auto"/>
      </w:pPr>
      <w:r>
        <w:t>大纲设计和教学设计都使用两阶段检索。系统先根据检索摘要或课程文本确定候选课程，再从课程目录读取完整的相关文档。当前每次最多装载 3 门 MIT 课程。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325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51206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ptos" w:hAnsi="Aptos" w:eastAsia="PingFang SC"/>
                <w:b/>
                <w:color w:val="FFFFFF"/>
                <w:sz w:val="21"/>
              </w:rPr>
              <w:t>按优先级装载的文档</w:t>
            </w:r>
          </w:p>
        </w:tc>
      </w:tr>
      <w:tr>
        <w:trPr>
          <w:cantSplit/>
        </w:trPr>
        <w:tc>
          <w:tcPr>
            <w:tcW w:type="dxa" w:w="1325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大纲设计</w:t>
            </w:r>
          </w:p>
        </w:tc>
        <w:tc>
          <w:tcPr>
            <w:tcW w:type="dxa" w:w="51206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检索摘要.md、course-description.md、syllabus.md、calendar.md、assignments.md、instructor-insights.md</w:t>
            </w:r>
          </w:p>
        </w:tc>
      </w:tr>
      <w:tr>
        <w:trPr>
          <w:cantSplit/>
        </w:trPr>
        <w:tc>
          <w:tcPr>
            <w:tcW w:type="dxa" w:w="13258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/>
                <w:color w:val="000000"/>
                <w:sz w:val="20"/>
              </w:rPr>
              <w:t>教学设计</w:t>
            </w:r>
          </w:p>
        </w:tc>
        <w:tc>
          <w:tcPr>
            <w:tcW w:type="dxa" w:w="51206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AF2F8"/>
          </w:tcPr>
          <w:p>
            <w:pPr>
              <w:spacing w:before="0" w:after="0" w:line="269" w:lineRule="auto"/>
            </w:pPr>
            <w:r/>
            <w:r>
              <w:rPr>
                <w:rFonts w:ascii="Aptos" w:hAnsi="Aptos" w:eastAsia="PingFang SC"/>
                <w:b w:val="0"/>
                <w:color w:val="000000"/>
                <w:sz w:val="20"/>
              </w:rPr>
              <w:t>检索摘要.md、course-description.md、syllabus.md、assignments.md、projects.md、instructor-insights.md</w:t>
            </w:r>
          </w:p>
        </w:tc>
      </w:tr>
    </w:tbl>
    <w:p>
      <w:pPr>
        <w:pStyle w:val="Heading1"/>
      </w:pPr>
      <w:r>
        <w:t>共通规则</w:t>
      </w:r>
    </w:p>
    <w:p>
      <w:pPr>
        <w:pStyle w:val="ListBullet"/>
        <w:spacing w:before="0" w:after="80" w:line="288" w:lineRule="auto"/>
      </w:pPr>
      <w:r>
        <w:rPr>
          <w:rFonts w:ascii="Aptos" w:hAnsi="Aptos" w:eastAsia="PingFang SC"/>
          <w:color w:val="000000"/>
          <w:sz w:val="22"/>
        </w:rPr>
        <w:t>模式决定任务工作流、默认证据范围和回答结构，知识库负责提供可引用证据。</w:t>
      </w:r>
    </w:p>
    <w:p>
      <w:pPr>
        <w:pStyle w:val="ListBullet"/>
        <w:spacing w:before="0" w:after="80" w:line="288" w:lineRule="auto"/>
      </w:pPr>
      <w:r>
        <w:rPr>
          <w:rFonts w:ascii="Aptos" w:hAnsi="Aptos" w:eastAsia="PingFang SC"/>
          <w:color w:val="000000"/>
          <w:sz w:val="22"/>
        </w:rPr>
        <w:t>用户可在检索范围菜单中增加、取消或覆盖当前模式的默认知识库。</w:t>
      </w:r>
    </w:p>
    <w:p>
      <w:pPr>
        <w:pStyle w:val="ListBullet"/>
        <w:spacing w:before="0" w:after="80" w:line="288" w:lineRule="auto"/>
      </w:pPr>
      <w:r>
        <w:rPr>
          <w:rFonts w:ascii="Aptos" w:hAnsi="Aptos" w:eastAsia="PingFang SC"/>
          <w:color w:val="000000"/>
          <w:sz w:val="22"/>
        </w:rPr>
        <w:t>引用内容与来源编号对应，有原文网址时允许用户直接追溯。</w:t>
      </w:r>
    </w:p>
    <w:p>
      <w:pPr>
        <w:pStyle w:val="ListBullet"/>
        <w:spacing w:before="0" w:after="80" w:line="288" w:lineRule="auto"/>
      </w:pPr>
      <w:r>
        <w:rPr>
          <w:rFonts w:ascii="Aptos" w:hAnsi="Aptos" w:eastAsia="PingFang SC"/>
          <w:color w:val="000000"/>
          <w:sz w:val="22"/>
        </w:rPr>
        <w:t>新生成的 MIT 中文检索摘要需要重新构建 teaching_cases 向量库后才会参与课程匹配。</w:t>
      </w:r>
    </w:p>
    <w:sectPr w:rsidR="00FC693F" w:rsidRPr="0006063C" w:rsidSect="00034616"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PingFang SC"/>
        <w:color w:val="6062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" w:hAnsi="Aptos" w:eastAsia="PingFang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PingFang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北大问教四种问答模式设计说明</dc:title>
  <dc:subject>通用问答 大纲设计 教学设计 学情诊断</dc:subject>
  <dc:creator>北大问教</dc:creator>
  <cp:keywords>智能问答, RAG, 课程大纲, 教学设计, 学情诊断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